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4534" w14:textId="0C050120" w:rsidR="009237CB" w:rsidRPr="00517C8C" w:rsidRDefault="009237CB" w:rsidP="00F056CA">
      <w:pPr>
        <w:spacing w:before="29" w:line="276" w:lineRule="auto"/>
        <w:jc w:val="both"/>
        <w:rPr>
          <w:rFonts w:ascii="Times New Roman" w:hAnsi="Times New Roman"/>
          <w:b/>
          <w:caps/>
          <w:sz w:val="24"/>
          <w:szCs w:val="24"/>
        </w:rPr>
      </w:pPr>
      <w:r w:rsidRPr="00517C8C">
        <w:rPr>
          <w:rFonts w:ascii="Times New Roman" w:hAnsi="Times New Roman"/>
          <w:b/>
          <w:sz w:val="24"/>
          <w:szCs w:val="24"/>
        </w:rPr>
        <w:t>Rule 9020-1</w:t>
      </w:r>
      <w:r w:rsidR="00F056CA">
        <w:rPr>
          <w:rFonts w:ascii="Times New Roman" w:hAnsi="Times New Roman"/>
          <w:b/>
          <w:sz w:val="24"/>
          <w:szCs w:val="24"/>
        </w:rPr>
        <w:t xml:space="preserve">  </w:t>
      </w:r>
      <w:r w:rsidRPr="00517C8C">
        <w:rPr>
          <w:rFonts w:ascii="Times New Roman" w:hAnsi="Times New Roman"/>
          <w:b/>
          <w:caps/>
          <w:sz w:val="24"/>
          <w:szCs w:val="24"/>
        </w:rPr>
        <w:t>Loss Mitigation Program</w:t>
      </w:r>
    </w:p>
    <w:p w14:paraId="0F68B210" w14:textId="3708E89D" w:rsidR="009237CB" w:rsidRDefault="009237CB" w:rsidP="00F056CA">
      <w:pPr>
        <w:spacing w:before="29" w:line="276" w:lineRule="auto"/>
        <w:jc w:val="both"/>
        <w:rPr>
          <w:rFonts w:ascii="Times New Roman" w:hAnsi="Times New Roman"/>
          <w:sz w:val="24"/>
          <w:szCs w:val="24"/>
        </w:rPr>
      </w:pPr>
    </w:p>
    <w:p w14:paraId="5A5F8C7D" w14:textId="1E9D8110" w:rsidR="00F056CA" w:rsidRDefault="009237CB" w:rsidP="00F056CA">
      <w:pPr>
        <w:numPr>
          <w:ilvl w:val="0"/>
          <w:numId w:val="30"/>
        </w:numPr>
        <w:spacing w:before="29" w:line="276" w:lineRule="auto"/>
        <w:ind w:left="0" w:firstLine="720"/>
        <w:jc w:val="both"/>
        <w:rPr>
          <w:rFonts w:ascii="Times New Roman" w:hAnsi="Times New Roman"/>
          <w:sz w:val="24"/>
          <w:szCs w:val="24"/>
        </w:rPr>
      </w:pPr>
      <w:r w:rsidRPr="00F056CA">
        <w:rPr>
          <w:rFonts w:ascii="Times New Roman" w:hAnsi="Times New Roman"/>
          <w:sz w:val="24"/>
          <w:szCs w:val="24"/>
        </w:rPr>
        <w:t xml:space="preserve">The Loss Mitigation Program (“LMP”) is a structured process to facilitate consensual resolutions when residential property is at risk of foreclosure. </w:t>
      </w:r>
    </w:p>
    <w:p w14:paraId="1B6CFAA3" w14:textId="77777777" w:rsidR="00F056CA" w:rsidRDefault="00F056CA" w:rsidP="00F056CA">
      <w:pPr>
        <w:spacing w:before="29" w:line="276" w:lineRule="auto"/>
        <w:ind w:left="720"/>
        <w:jc w:val="both"/>
        <w:rPr>
          <w:rFonts w:ascii="Times New Roman" w:hAnsi="Times New Roman"/>
          <w:sz w:val="24"/>
          <w:szCs w:val="24"/>
        </w:rPr>
      </w:pPr>
    </w:p>
    <w:p w14:paraId="5CB88651" w14:textId="6F9C472E" w:rsidR="009237CB" w:rsidRDefault="009237CB" w:rsidP="00F056CA">
      <w:pPr>
        <w:numPr>
          <w:ilvl w:val="0"/>
          <w:numId w:val="30"/>
        </w:numPr>
        <w:spacing w:before="29" w:line="276" w:lineRule="auto"/>
        <w:ind w:left="0" w:firstLine="720"/>
        <w:jc w:val="both"/>
        <w:rPr>
          <w:rFonts w:ascii="Times New Roman" w:hAnsi="Times New Roman"/>
          <w:sz w:val="24"/>
          <w:szCs w:val="24"/>
        </w:rPr>
      </w:pPr>
      <w:r w:rsidRPr="00F056CA">
        <w:rPr>
          <w:rFonts w:ascii="Times New Roman" w:hAnsi="Times New Roman"/>
          <w:sz w:val="24"/>
          <w:szCs w:val="24"/>
        </w:rPr>
        <w:t>For purposes of the LMP, the following definitions apply in W.PA.LBR 9020-1 through 9020-7:</w:t>
      </w:r>
    </w:p>
    <w:p w14:paraId="360006CF" w14:textId="77777777" w:rsidR="00F056CA" w:rsidRDefault="00F056CA" w:rsidP="00F056CA">
      <w:pPr>
        <w:pStyle w:val="ListParagraph"/>
        <w:spacing w:before="29" w:after="0"/>
        <w:jc w:val="both"/>
        <w:rPr>
          <w:rFonts w:ascii="Times New Roman" w:hAnsi="Times New Roman"/>
          <w:sz w:val="24"/>
          <w:szCs w:val="24"/>
        </w:rPr>
      </w:pPr>
    </w:p>
    <w:p w14:paraId="54B37598" w14:textId="03B32941" w:rsidR="00F056CA" w:rsidRDefault="009237CB" w:rsidP="00F056CA">
      <w:pPr>
        <w:numPr>
          <w:ilvl w:val="0"/>
          <w:numId w:val="31"/>
        </w:numPr>
        <w:spacing w:before="29" w:line="276" w:lineRule="auto"/>
        <w:ind w:left="2160" w:hanging="720"/>
        <w:jc w:val="both"/>
        <w:rPr>
          <w:rFonts w:ascii="Times New Roman" w:hAnsi="Times New Roman"/>
          <w:sz w:val="24"/>
          <w:szCs w:val="24"/>
        </w:rPr>
      </w:pPr>
      <w:r w:rsidRPr="00F056CA">
        <w:rPr>
          <w:rFonts w:ascii="Times New Roman" w:hAnsi="Times New Roman"/>
          <w:sz w:val="24"/>
          <w:szCs w:val="24"/>
        </w:rPr>
        <w:t>“Core LMP Package” refers collectively to all of the forms and supporting documentation that the Creditor requires to initiate the assessment of loss mitigation options.</w:t>
      </w:r>
    </w:p>
    <w:p w14:paraId="0B425EB6" w14:textId="77777777" w:rsidR="00F056CA" w:rsidRDefault="00F056CA" w:rsidP="00F056CA">
      <w:pPr>
        <w:spacing w:before="29" w:line="276" w:lineRule="auto"/>
        <w:ind w:left="2160"/>
        <w:jc w:val="both"/>
        <w:rPr>
          <w:rFonts w:ascii="Times New Roman" w:hAnsi="Times New Roman"/>
          <w:sz w:val="24"/>
          <w:szCs w:val="24"/>
        </w:rPr>
      </w:pPr>
    </w:p>
    <w:p w14:paraId="370EB1CF" w14:textId="77777777" w:rsidR="00F056CA" w:rsidRDefault="009237CB" w:rsidP="00F056CA">
      <w:pPr>
        <w:numPr>
          <w:ilvl w:val="0"/>
          <w:numId w:val="31"/>
        </w:numPr>
        <w:spacing w:before="29" w:line="276" w:lineRule="auto"/>
        <w:ind w:left="2160" w:hanging="720"/>
        <w:jc w:val="both"/>
        <w:rPr>
          <w:rFonts w:ascii="Times New Roman" w:hAnsi="Times New Roman"/>
          <w:sz w:val="24"/>
          <w:szCs w:val="24"/>
        </w:rPr>
      </w:pPr>
      <w:r w:rsidRPr="00F056CA">
        <w:rPr>
          <w:rFonts w:ascii="Times New Roman" w:hAnsi="Times New Roman"/>
          <w:sz w:val="24"/>
          <w:szCs w:val="24"/>
        </w:rPr>
        <w:t xml:space="preserve">“Creditor” refers to any mortgage holder, servicer or trustee of an Eligible Loan. </w:t>
      </w:r>
    </w:p>
    <w:p w14:paraId="49C81FC0" w14:textId="77777777" w:rsidR="00F056CA" w:rsidRDefault="00F056CA" w:rsidP="00F056CA">
      <w:pPr>
        <w:pStyle w:val="ListParagraph"/>
        <w:spacing w:before="29" w:after="0"/>
        <w:jc w:val="both"/>
        <w:rPr>
          <w:rFonts w:ascii="Times New Roman" w:hAnsi="Times New Roman"/>
          <w:sz w:val="24"/>
          <w:szCs w:val="24"/>
        </w:rPr>
      </w:pPr>
    </w:p>
    <w:p w14:paraId="23ADD017" w14:textId="10E9AAEE" w:rsidR="00F056CA" w:rsidRDefault="009237CB" w:rsidP="00F056CA">
      <w:pPr>
        <w:numPr>
          <w:ilvl w:val="0"/>
          <w:numId w:val="31"/>
        </w:numPr>
        <w:spacing w:before="29" w:line="276" w:lineRule="auto"/>
        <w:ind w:left="2160" w:hanging="720"/>
        <w:jc w:val="both"/>
        <w:rPr>
          <w:rFonts w:ascii="Times New Roman" w:hAnsi="Times New Roman"/>
          <w:sz w:val="24"/>
          <w:szCs w:val="24"/>
        </w:rPr>
      </w:pPr>
      <w:r w:rsidRPr="00F056CA">
        <w:rPr>
          <w:rFonts w:ascii="Times New Roman" w:hAnsi="Times New Roman"/>
          <w:sz w:val="24"/>
          <w:szCs w:val="24"/>
        </w:rPr>
        <w:t>“</w:t>
      </w:r>
      <w:r w:rsidR="00F056CA">
        <w:rPr>
          <w:rFonts w:ascii="Times New Roman" w:hAnsi="Times New Roman"/>
          <w:sz w:val="24"/>
          <w:szCs w:val="24"/>
        </w:rPr>
        <w:t>D</w:t>
      </w:r>
      <w:r w:rsidRPr="00F056CA">
        <w:rPr>
          <w:rFonts w:ascii="Times New Roman" w:hAnsi="Times New Roman"/>
          <w:sz w:val="24"/>
          <w:szCs w:val="24"/>
        </w:rPr>
        <w:t>ebtor” means any individual debtor in a case filed under Chapter 7, 11, 12 or 13 of the Bankruptcy Code, including joint debtors.</w:t>
      </w:r>
    </w:p>
    <w:p w14:paraId="5E14B8AD" w14:textId="77777777" w:rsidR="00F056CA" w:rsidRDefault="00F056CA" w:rsidP="00F056CA">
      <w:pPr>
        <w:pStyle w:val="ListParagraph"/>
        <w:spacing w:before="29" w:after="0"/>
        <w:jc w:val="both"/>
        <w:rPr>
          <w:rFonts w:ascii="Times New Roman" w:hAnsi="Times New Roman"/>
          <w:sz w:val="24"/>
          <w:szCs w:val="24"/>
        </w:rPr>
      </w:pPr>
    </w:p>
    <w:p w14:paraId="294BDA0D" w14:textId="77777777" w:rsidR="00F056CA" w:rsidRDefault="009237CB" w:rsidP="00F056CA">
      <w:pPr>
        <w:numPr>
          <w:ilvl w:val="0"/>
          <w:numId w:val="31"/>
        </w:numPr>
        <w:spacing w:before="29" w:line="276" w:lineRule="auto"/>
        <w:ind w:left="2160" w:hanging="720"/>
        <w:jc w:val="both"/>
        <w:rPr>
          <w:rFonts w:ascii="Times New Roman" w:hAnsi="Times New Roman"/>
          <w:sz w:val="24"/>
          <w:szCs w:val="24"/>
        </w:rPr>
      </w:pPr>
      <w:r w:rsidRPr="00F056CA">
        <w:rPr>
          <w:rFonts w:ascii="Times New Roman" w:hAnsi="Times New Roman"/>
          <w:sz w:val="24"/>
          <w:szCs w:val="24"/>
        </w:rPr>
        <w:t xml:space="preserve">“Document Preparation Software” refers to a secure online program that facilitates the preparation of the Core LMP Package by populating the Primary LMP Documents and generating a customized checklist.  A list of approved Document Preparation Software providers and related information shall be posted on the Court’s website. </w:t>
      </w:r>
    </w:p>
    <w:p w14:paraId="5DF8EB87" w14:textId="77777777" w:rsidR="00F056CA" w:rsidRDefault="00F056CA" w:rsidP="00F056CA">
      <w:pPr>
        <w:pStyle w:val="ListParagraph"/>
        <w:spacing w:before="29" w:after="0"/>
        <w:jc w:val="both"/>
        <w:rPr>
          <w:rFonts w:ascii="Times New Roman" w:hAnsi="Times New Roman"/>
          <w:sz w:val="24"/>
          <w:szCs w:val="24"/>
        </w:rPr>
      </w:pPr>
    </w:p>
    <w:p w14:paraId="2C80EC97" w14:textId="77777777" w:rsidR="00F056CA" w:rsidRDefault="009237CB" w:rsidP="00F056CA">
      <w:pPr>
        <w:numPr>
          <w:ilvl w:val="0"/>
          <w:numId w:val="31"/>
        </w:numPr>
        <w:spacing w:before="29" w:line="276" w:lineRule="auto"/>
        <w:ind w:left="2160" w:hanging="720"/>
        <w:jc w:val="both"/>
        <w:rPr>
          <w:rFonts w:ascii="Times New Roman" w:hAnsi="Times New Roman"/>
          <w:sz w:val="24"/>
          <w:szCs w:val="24"/>
        </w:rPr>
      </w:pPr>
      <w:r w:rsidRPr="00F056CA">
        <w:rPr>
          <w:rFonts w:ascii="Times New Roman" w:hAnsi="Times New Roman"/>
          <w:sz w:val="24"/>
          <w:szCs w:val="24"/>
        </w:rPr>
        <w:t>“Eligible Loan” means any mortgage, lien or extension of money or credit secured by Eligible Property, regardless of whether the loan is considered to be subprime or non-traditional, was in foreclosure prior to the bankruptcy filing, is the first or junior mortgage or lien on the Eligible Property, and/or has been pooled, securitized or assigned to a creditor or trustee.</w:t>
      </w:r>
    </w:p>
    <w:p w14:paraId="690126A8" w14:textId="77777777" w:rsidR="00F056CA" w:rsidRDefault="00F056CA" w:rsidP="00F056CA">
      <w:pPr>
        <w:pStyle w:val="ListParagraph"/>
        <w:spacing w:before="29" w:after="0"/>
        <w:jc w:val="both"/>
        <w:rPr>
          <w:rFonts w:ascii="Times New Roman" w:hAnsi="Times New Roman"/>
          <w:sz w:val="24"/>
          <w:szCs w:val="24"/>
        </w:rPr>
      </w:pPr>
    </w:p>
    <w:p w14:paraId="4656ED21" w14:textId="18EB4B96" w:rsidR="00F056CA" w:rsidRDefault="009237CB" w:rsidP="00F056CA">
      <w:pPr>
        <w:numPr>
          <w:ilvl w:val="0"/>
          <w:numId w:val="31"/>
        </w:numPr>
        <w:spacing w:before="29" w:line="276" w:lineRule="auto"/>
        <w:ind w:left="2160" w:hanging="720"/>
        <w:jc w:val="both"/>
        <w:rPr>
          <w:rFonts w:ascii="Times New Roman" w:hAnsi="Times New Roman"/>
          <w:sz w:val="24"/>
          <w:szCs w:val="24"/>
        </w:rPr>
      </w:pPr>
      <w:r w:rsidRPr="00F056CA">
        <w:rPr>
          <w:rFonts w:ascii="Times New Roman" w:hAnsi="Times New Roman"/>
          <w:sz w:val="24"/>
          <w:szCs w:val="24"/>
        </w:rPr>
        <w:t>“Eligible Property” means any real property used as the debtor’s principal residence in which the debtor holds an interest.</w:t>
      </w:r>
    </w:p>
    <w:p w14:paraId="0FD3EF9F" w14:textId="77777777" w:rsidR="00F056CA" w:rsidRDefault="00F056CA" w:rsidP="00F056CA">
      <w:pPr>
        <w:pStyle w:val="ListParagraph"/>
        <w:spacing w:before="29" w:after="0"/>
        <w:jc w:val="both"/>
        <w:rPr>
          <w:rFonts w:ascii="Times New Roman" w:hAnsi="Times New Roman"/>
          <w:sz w:val="24"/>
          <w:szCs w:val="24"/>
        </w:rPr>
      </w:pPr>
    </w:p>
    <w:p w14:paraId="73A355B0" w14:textId="77777777" w:rsidR="00F056CA" w:rsidRDefault="009237CB" w:rsidP="00F056CA">
      <w:pPr>
        <w:numPr>
          <w:ilvl w:val="0"/>
          <w:numId w:val="31"/>
        </w:numPr>
        <w:spacing w:before="29" w:line="276" w:lineRule="auto"/>
        <w:ind w:left="2160" w:hanging="720"/>
        <w:jc w:val="both"/>
        <w:rPr>
          <w:rFonts w:ascii="Times New Roman" w:hAnsi="Times New Roman"/>
          <w:sz w:val="24"/>
          <w:szCs w:val="24"/>
        </w:rPr>
      </w:pPr>
      <w:r w:rsidRPr="00F056CA">
        <w:rPr>
          <w:rFonts w:ascii="Times New Roman" w:hAnsi="Times New Roman"/>
          <w:sz w:val="24"/>
          <w:szCs w:val="24"/>
        </w:rPr>
        <w:t>“LMP Period” is the time during which the LMP is in effect prior to its expiration or termination by Court order.</w:t>
      </w:r>
    </w:p>
    <w:p w14:paraId="5C1B488E" w14:textId="77777777" w:rsidR="00F056CA" w:rsidRDefault="00F056CA" w:rsidP="00F056CA">
      <w:pPr>
        <w:pStyle w:val="ListParagraph"/>
        <w:spacing w:before="29" w:after="0"/>
        <w:jc w:val="both"/>
        <w:rPr>
          <w:rFonts w:ascii="Times New Roman" w:hAnsi="Times New Roman"/>
          <w:sz w:val="24"/>
          <w:szCs w:val="24"/>
        </w:rPr>
      </w:pPr>
    </w:p>
    <w:p w14:paraId="26AB623B" w14:textId="77777777" w:rsidR="00F056CA" w:rsidRDefault="009237CB" w:rsidP="00F056CA">
      <w:pPr>
        <w:numPr>
          <w:ilvl w:val="0"/>
          <w:numId w:val="31"/>
        </w:numPr>
        <w:spacing w:before="29" w:line="276" w:lineRule="auto"/>
        <w:ind w:left="2160" w:hanging="720"/>
        <w:jc w:val="both"/>
        <w:rPr>
          <w:rFonts w:ascii="Times New Roman" w:hAnsi="Times New Roman"/>
          <w:sz w:val="24"/>
          <w:szCs w:val="24"/>
        </w:rPr>
      </w:pPr>
      <w:r w:rsidRPr="00F056CA">
        <w:rPr>
          <w:rFonts w:ascii="Times New Roman" w:hAnsi="Times New Roman"/>
          <w:sz w:val="24"/>
          <w:szCs w:val="24"/>
        </w:rPr>
        <w:t>“loss mitigation” includes the full range of solutions that may prevent either the loss of a debtor’s Eligible Property to foreclosure, increased costs to the lender, or both, including but not limited to, loan modification, loan refinance, forbearance, short sale, or surrender of the Eligible Property in full satisfaction of obligations arising under an Eligible Loan.</w:t>
      </w:r>
    </w:p>
    <w:p w14:paraId="17E43CD0" w14:textId="77777777" w:rsidR="00F056CA" w:rsidRDefault="00F056CA" w:rsidP="00F056CA">
      <w:pPr>
        <w:pStyle w:val="ListParagraph"/>
        <w:spacing w:before="29" w:after="0"/>
        <w:jc w:val="both"/>
        <w:rPr>
          <w:rFonts w:ascii="Times New Roman" w:hAnsi="Times New Roman"/>
          <w:sz w:val="24"/>
          <w:szCs w:val="24"/>
        </w:rPr>
      </w:pPr>
    </w:p>
    <w:p w14:paraId="713D2198" w14:textId="77777777" w:rsidR="00F056CA" w:rsidRDefault="009237CB" w:rsidP="00F056CA">
      <w:pPr>
        <w:numPr>
          <w:ilvl w:val="0"/>
          <w:numId w:val="31"/>
        </w:numPr>
        <w:spacing w:before="29" w:line="276" w:lineRule="auto"/>
        <w:ind w:left="2160" w:hanging="720"/>
        <w:jc w:val="both"/>
        <w:rPr>
          <w:rFonts w:ascii="Times New Roman" w:hAnsi="Times New Roman"/>
          <w:sz w:val="24"/>
          <w:szCs w:val="24"/>
        </w:rPr>
      </w:pPr>
      <w:r w:rsidRPr="00F056CA">
        <w:rPr>
          <w:rFonts w:ascii="Times New Roman" w:hAnsi="Times New Roman"/>
          <w:sz w:val="24"/>
          <w:szCs w:val="24"/>
        </w:rPr>
        <w:t>“Portal” refers to a secure online service that allows LMP documents to be submitted, retrieved and tracked. A list of approved Portals and related information shall be posted on the Court’s website.</w:t>
      </w:r>
    </w:p>
    <w:p w14:paraId="513EA5D9" w14:textId="77777777" w:rsidR="00F056CA" w:rsidRDefault="00F056CA" w:rsidP="00F056CA">
      <w:pPr>
        <w:pStyle w:val="ListParagraph"/>
        <w:spacing w:before="29" w:after="0"/>
        <w:jc w:val="both"/>
        <w:rPr>
          <w:rFonts w:ascii="Times New Roman" w:hAnsi="Times New Roman"/>
          <w:sz w:val="24"/>
          <w:szCs w:val="24"/>
        </w:rPr>
      </w:pPr>
    </w:p>
    <w:p w14:paraId="7A6B63FE" w14:textId="5A7F8094" w:rsidR="009237CB" w:rsidRDefault="009237CB" w:rsidP="00F056CA">
      <w:pPr>
        <w:numPr>
          <w:ilvl w:val="0"/>
          <w:numId w:val="31"/>
        </w:numPr>
        <w:spacing w:before="29" w:line="276" w:lineRule="auto"/>
        <w:ind w:left="2160" w:hanging="720"/>
        <w:jc w:val="both"/>
        <w:rPr>
          <w:rFonts w:ascii="Times New Roman" w:hAnsi="Times New Roman"/>
          <w:sz w:val="24"/>
          <w:szCs w:val="24"/>
        </w:rPr>
      </w:pPr>
      <w:r w:rsidRPr="00F056CA">
        <w:rPr>
          <w:rFonts w:ascii="Times New Roman" w:hAnsi="Times New Roman"/>
          <w:sz w:val="24"/>
          <w:szCs w:val="24"/>
        </w:rPr>
        <w:t>“Primary LMP Documents” refers collectively to the documentation that is generated by the Document Preparation Software.</w:t>
      </w:r>
    </w:p>
    <w:p w14:paraId="687489ED" w14:textId="1C0A6304" w:rsidR="00F056CA" w:rsidRDefault="00F056CA" w:rsidP="00F056CA">
      <w:pPr>
        <w:spacing w:before="29" w:line="276" w:lineRule="auto"/>
        <w:ind w:left="2160"/>
        <w:jc w:val="both"/>
        <w:rPr>
          <w:rFonts w:ascii="Times New Roman" w:hAnsi="Times New Roman"/>
          <w:sz w:val="24"/>
          <w:szCs w:val="24"/>
        </w:rPr>
      </w:pPr>
    </w:p>
    <w:p w14:paraId="04E7FC17" w14:textId="1B82A495" w:rsidR="009237CB" w:rsidRPr="00F056CA" w:rsidRDefault="009237CB" w:rsidP="00F056CA">
      <w:pPr>
        <w:numPr>
          <w:ilvl w:val="0"/>
          <w:numId w:val="30"/>
        </w:numPr>
        <w:spacing w:before="29" w:line="276" w:lineRule="auto"/>
        <w:ind w:left="0" w:firstLine="720"/>
        <w:jc w:val="both"/>
        <w:rPr>
          <w:rFonts w:ascii="Times New Roman" w:hAnsi="Times New Roman"/>
          <w:sz w:val="24"/>
          <w:szCs w:val="24"/>
        </w:rPr>
      </w:pPr>
      <w:r w:rsidRPr="00F056CA">
        <w:rPr>
          <w:rFonts w:ascii="Times New Roman" w:hAnsi="Times New Roman"/>
          <w:sz w:val="24"/>
          <w:szCs w:val="24"/>
        </w:rPr>
        <w:t xml:space="preserve">Unless otherwise ordered by the Court, the Local Bankruptcy Rules apply to the LMP, including but not limited to the caption requirements set forth in W.PA.LBR 9004-1, the certificate of service requirements set forth in W.PA.LBR 2002-1 and the notice requirements set forth in W.PA.LBR 5005-8.  </w:t>
      </w:r>
    </w:p>
    <w:p w14:paraId="52BEB8B9" w14:textId="77777777" w:rsidR="00467269" w:rsidRDefault="00467269" w:rsidP="00F056CA">
      <w:pPr>
        <w:spacing w:before="29" w:line="276" w:lineRule="auto"/>
        <w:jc w:val="both"/>
        <w:rPr>
          <w:rFonts w:ascii="Times New Roman" w:hAnsi="Times New Roman"/>
          <w:sz w:val="24"/>
          <w:szCs w:val="24"/>
        </w:rPr>
      </w:pPr>
    </w:p>
    <w:p w14:paraId="79C17E26" w14:textId="77777777" w:rsidR="00467269" w:rsidRDefault="00467269" w:rsidP="00F05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sectPr w:rsidR="00467269" w:rsidSect="00F056CA">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9D476" w14:textId="77777777" w:rsidR="00924A9A" w:rsidRDefault="00924A9A" w:rsidP="00214590">
      <w:r>
        <w:separator/>
      </w:r>
    </w:p>
  </w:endnote>
  <w:endnote w:type="continuationSeparator" w:id="0">
    <w:p w14:paraId="05DA2BB1" w14:textId="77777777" w:rsidR="00924A9A" w:rsidRDefault="00924A9A"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13B1"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17C0E" w14:textId="77777777" w:rsidR="00924A9A" w:rsidRDefault="00924A9A" w:rsidP="00214590">
      <w:r>
        <w:separator/>
      </w:r>
    </w:p>
  </w:footnote>
  <w:footnote w:type="continuationSeparator" w:id="0">
    <w:p w14:paraId="66807669" w14:textId="77777777" w:rsidR="00924A9A" w:rsidRDefault="00924A9A"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CB9216C"/>
    <w:multiLevelType w:val="hybridMultilevel"/>
    <w:tmpl w:val="C400DA26"/>
    <w:lvl w:ilvl="0" w:tplc="1DA493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718BF"/>
    <w:multiLevelType w:val="hybridMultilevel"/>
    <w:tmpl w:val="FC5CFA06"/>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2"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2"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8"/>
  </w:num>
  <w:num w:numId="3">
    <w:abstractNumId w:val="2"/>
  </w:num>
  <w:num w:numId="4">
    <w:abstractNumId w:val="1"/>
  </w:num>
  <w:num w:numId="5">
    <w:abstractNumId w:val="11"/>
  </w:num>
  <w:num w:numId="6">
    <w:abstractNumId w:val="4"/>
  </w:num>
  <w:num w:numId="7">
    <w:abstractNumId w:val="20"/>
  </w:num>
  <w:num w:numId="8">
    <w:abstractNumId w:val="0"/>
  </w:num>
  <w:num w:numId="9">
    <w:abstractNumId w:val="17"/>
  </w:num>
  <w:num w:numId="10">
    <w:abstractNumId w:val="8"/>
  </w:num>
  <w:num w:numId="11">
    <w:abstractNumId w:val="5"/>
  </w:num>
  <w:num w:numId="12">
    <w:abstractNumId w:val="26"/>
  </w:num>
  <w:num w:numId="13">
    <w:abstractNumId w:val="10"/>
  </w:num>
  <w:num w:numId="14">
    <w:abstractNumId w:val="6"/>
  </w:num>
  <w:num w:numId="15">
    <w:abstractNumId w:val="3"/>
  </w:num>
  <w:num w:numId="16">
    <w:abstractNumId w:val="30"/>
  </w:num>
  <w:num w:numId="17">
    <w:abstractNumId w:val="12"/>
  </w:num>
  <w:num w:numId="18">
    <w:abstractNumId w:val="25"/>
  </w:num>
  <w:num w:numId="19">
    <w:abstractNumId w:val="19"/>
  </w:num>
  <w:num w:numId="20">
    <w:abstractNumId w:val="29"/>
  </w:num>
  <w:num w:numId="21">
    <w:abstractNumId w:val="24"/>
  </w:num>
  <w:num w:numId="22">
    <w:abstractNumId w:val="13"/>
  </w:num>
  <w:num w:numId="23">
    <w:abstractNumId w:val="23"/>
  </w:num>
  <w:num w:numId="24">
    <w:abstractNumId w:val="15"/>
  </w:num>
  <w:num w:numId="25">
    <w:abstractNumId w:val="16"/>
  </w:num>
  <w:num w:numId="26">
    <w:abstractNumId w:val="28"/>
  </w:num>
  <w:num w:numId="27">
    <w:abstractNumId w:val="21"/>
  </w:num>
  <w:num w:numId="28">
    <w:abstractNumId w:val="14"/>
  </w:num>
  <w:num w:numId="29">
    <w:abstractNumId w:val="22"/>
  </w:num>
  <w:num w:numId="30">
    <w:abstractNumId w:val="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3411C"/>
    <w:rsid w:val="00041664"/>
    <w:rsid w:val="0004250F"/>
    <w:rsid w:val="000645D9"/>
    <w:rsid w:val="00066CAC"/>
    <w:rsid w:val="00066F7A"/>
    <w:rsid w:val="0007188E"/>
    <w:rsid w:val="00072B8D"/>
    <w:rsid w:val="000767F3"/>
    <w:rsid w:val="00083F6A"/>
    <w:rsid w:val="000975CF"/>
    <w:rsid w:val="000A2191"/>
    <w:rsid w:val="000A3C1C"/>
    <w:rsid w:val="000B5BE5"/>
    <w:rsid w:val="000C63F2"/>
    <w:rsid w:val="000C6D62"/>
    <w:rsid w:val="000D3A37"/>
    <w:rsid w:val="000D54E9"/>
    <w:rsid w:val="000E4428"/>
    <w:rsid w:val="00102887"/>
    <w:rsid w:val="00113269"/>
    <w:rsid w:val="001222E0"/>
    <w:rsid w:val="00132232"/>
    <w:rsid w:val="001477A9"/>
    <w:rsid w:val="001507EA"/>
    <w:rsid w:val="0015433A"/>
    <w:rsid w:val="00155051"/>
    <w:rsid w:val="00161E50"/>
    <w:rsid w:val="0018539D"/>
    <w:rsid w:val="00197DFA"/>
    <w:rsid w:val="001B2578"/>
    <w:rsid w:val="001C28BC"/>
    <w:rsid w:val="001D0A68"/>
    <w:rsid w:val="001D2418"/>
    <w:rsid w:val="001D4FD5"/>
    <w:rsid w:val="001D7417"/>
    <w:rsid w:val="001F193A"/>
    <w:rsid w:val="001F4299"/>
    <w:rsid w:val="001F7B8C"/>
    <w:rsid w:val="002037BE"/>
    <w:rsid w:val="0020488B"/>
    <w:rsid w:val="00214590"/>
    <w:rsid w:val="00215DC5"/>
    <w:rsid w:val="00224028"/>
    <w:rsid w:val="00227119"/>
    <w:rsid w:val="002303AE"/>
    <w:rsid w:val="00233158"/>
    <w:rsid w:val="00233D1A"/>
    <w:rsid w:val="00234E41"/>
    <w:rsid w:val="00237D73"/>
    <w:rsid w:val="00244A1B"/>
    <w:rsid w:val="00250262"/>
    <w:rsid w:val="00253A20"/>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52C7"/>
    <w:rsid w:val="003259A7"/>
    <w:rsid w:val="00327155"/>
    <w:rsid w:val="00333C94"/>
    <w:rsid w:val="003359FA"/>
    <w:rsid w:val="003437E7"/>
    <w:rsid w:val="00343E58"/>
    <w:rsid w:val="00350117"/>
    <w:rsid w:val="00355E5F"/>
    <w:rsid w:val="003576CF"/>
    <w:rsid w:val="003710C3"/>
    <w:rsid w:val="0039340C"/>
    <w:rsid w:val="003A6A32"/>
    <w:rsid w:val="003B0B77"/>
    <w:rsid w:val="003C263D"/>
    <w:rsid w:val="003C39CC"/>
    <w:rsid w:val="003C745E"/>
    <w:rsid w:val="003D1A87"/>
    <w:rsid w:val="003D1C47"/>
    <w:rsid w:val="003D63AA"/>
    <w:rsid w:val="003E3B1A"/>
    <w:rsid w:val="00403AA4"/>
    <w:rsid w:val="00403C7A"/>
    <w:rsid w:val="004049BD"/>
    <w:rsid w:val="004061A9"/>
    <w:rsid w:val="00415ED8"/>
    <w:rsid w:val="00417F8E"/>
    <w:rsid w:val="004242F0"/>
    <w:rsid w:val="00436344"/>
    <w:rsid w:val="00447179"/>
    <w:rsid w:val="00451135"/>
    <w:rsid w:val="00456922"/>
    <w:rsid w:val="00456C23"/>
    <w:rsid w:val="00460702"/>
    <w:rsid w:val="004651BC"/>
    <w:rsid w:val="00465A17"/>
    <w:rsid w:val="00467269"/>
    <w:rsid w:val="00486218"/>
    <w:rsid w:val="004A2884"/>
    <w:rsid w:val="004A2B33"/>
    <w:rsid w:val="004A5B68"/>
    <w:rsid w:val="004B23A7"/>
    <w:rsid w:val="004B6911"/>
    <w:rsid w:val="004C6253"/>
    <w:rsid w:val="004D0CC9"/>
    <w:rsid w:val="004E0B4D"/>
    <w:rsid w:val="004F2156"/>
    <w:rsid w:val="004F5007"/>
    <w:rsid w:val="004F6A26"/>
    <w:rsid w:val="005027CB"/>
    <w:rsid w:val="00512887"/>
    <w:rsid w:val="0051537F"/>
    <w:rsid w:val="00521CAD"/>
    <w:rsid w:val="0052515B"/>
    <w:rsid w:val="0054009D"/>
    <w:rsid w:val="005434B3"/>
    <w:rsid w:val="00546D10"/>
    <w:rsid w:val="00551BFB"/>
    <w:rsid w:val="00555714"/>
    <w:rsid w:val="00557E77"/>
    <w:rsid w:val="005654F0"/>
    <w:rsid w:val="005662C6"/>
    <w:rsid w:val="005714DE"/>
    <w:rsid w:val="005729FF"/>
    <w:rsid w:val="00575702"/>
    <w:rsid w:val="005920FF"/>
    <w:rsid w:val="005A35AA"/>
    <w:rsid w:val="005A5D37"/>
    <w:rsid w:val="005B25B6"/>
    <w:rsid w:val="005B2AA1"/>
    <w:rsid w:val="005D41CA"/>
    <w:rsid w:val="005E0C0E"/>
    <w:rsid w:val="005E0D1F"/>
    <w:rsid w:val="005E6D4E"/>
    <w:rsid w:val="005F1EE2"/>
    <w:rsid w:val="00610564"/>
    <w:rsid w:val="00617944"/>
    <w:rsid w:val="00622D27"/>
    <w:rsid w:val="006302A8"/>
    <w:rsid w:val="0063646A"/>
    <w:rsid w:val="00651515"/>
    <w:rsid w:val="006543AF"/>
    <w:rsid w:val="00656C3A"/>
    <w:rsid w:val="006666D1"/>
    <w:rsid w:val="00674D51"/>
    <w:rsid w:val="0067590E"/>
    <w:rsid w:val="006766EC"/>
    <w:rsid w:val="00681E62"/>
    <w:rsid w:val="00685A8D"/>
    <w:rsid w:val="00690323"/>
    <w:rsid w:val="00690CB7"/>
    <w:rsid w:val="006935B6"/>
    <w:rsid w:val="006A1876"/>
    <w:rsid w:val="006A19F2"/>
    <w:rsid w:val="006B15C8"/>
    <w:rsid w:val="006B2817"/>
    <w:rsid w:val="006E03F1"/>
    <w:rsid w:val="006E78EB"/>
    <w:rsid w:val="006F2595"/>
    <w:rsid w:val="00714C67"/>
    <w:rsid w:val="00715573"/>
    <w:rsid w:val="007360A5"/>
    <w:rsid w:val="00741D31"/>
    <w:rsid w:val="0076423E"/>
    <w:rsid w:val="0076691A"/>
    <w:rsid w:val="0076747D"/>
    <w:rsid w:val="00770C16"/>
    <w:rsid w:val="0078002E"/>
    <w:rsid w:val="0079340E"/>
    <w:rsid w:val="00794BBF"/>
    <w:rsid w:val="00796E52"/>
    <w:rsid w:val="007A4175"/>
    <w:rsid w:val="007B5E69"/>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A9A"/>
    <w:rsid w:val="00924C85"/>
    <w:rsid w:val="00943B39"/>
    <w:rsid w:val="00944FD0"/>
    <w:rsid w:val="00951447"/>
    <w:rsid w:val="0095647C"/>
    <w:rsid w:val="00957693"/>
    <w:rsid w:val="00966773"/>
    <w:rsid w:val="00972ADA"/>
    <w:rsid w:val="009774ED"/>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C678D"/>
    <w:rsid w:val="00AD251D"/>
    <w:rsid w:val="00AD44C7"/>
    <w:rsid w:val="00AF155C"/>
    <w:rsid w:val="00AF341B"/>
    <w:rsid w:val="00B002E5"/>
    <w:rsid w:val="00B108F2"/>
    <w:rsid w:val="00B12710"/>
    <w:rsid w:val="00B14386"/>
    <w:rsid w:val="00B2125B"/>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2269"/>
    <w:rsid w:val="00BF314F"/>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97241"/>
    <w:rsid w:val="00CB111F"/>
    <w:rsid w:val="00CB3404"/>
    <w:rsid w:val="00CB58B9"/>
    <w:rsid w:val="00CC398C"/>
    <w:rsid w:val="00CD0905"/>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D4F31"/>
    <w:rsid w:val="00DE2326"/>
    <w:rsid w:val="00DE3F2B"/>
    <w:rsid w:val="00DE6D9C"/>
    <w:rsid w:val="00E056BA"/>
    <w:rsid w:val="00E14F54"/>
    <w:rsid w:val="00E1701A"/>
    <w:rsid w:val="00E26E64"/>
    <w:rsid w:val="00E30F40"/>
    <w:rsid w:val="00E373A4"/>
    <w:rsid w:val="00E3765B"/>
    <w:rsid w:val="00E451C1"/>
    <w:rsid w:val="00E465B4"/>
    <w:rsid w:val="00E50217"/>
    <w:rsid w:val="00E67D75"/>
    <w:rsid w:val="00E815C4"/>
    <w:rsid w:val="00E815E7"/>
    <w:rsid w:val="00E86E62"/>
    <w:rsid w:val="00E9247A"/>
    <w:rsid w:val="00E937A3"/>
    <w:rsid w:val="00EE0CA7"/>
    <w:rsid w:val="00F056CA"/>
    <w:rsid w:val="00F30A54"/>
    <w:rsid w:val="00F3580F"/>
    <w:rsid w:val="00F36BBC"/>
    <w:rsid w:val="00F420EB"/>
    <w:rsid w:val="00F64E74"/>
    <w:rsid w:val="00F723ED"/>
    <w:rsid w:val="00F76006"/>
    <w:rsid w:val="00F84A01"/>
    <w:rsid w:val="00F912A4"/>
    <w:rsid w:val="00FA47F3"/>
    <w:rsid w:val="00FB51EB"/>
    <w:rsid w:val="00FC0FA1"/>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12B83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1DA7AB20-AA15-49A7-BD1D-CE5A3F3205DB}">
  <ds:schemaRefs>
    <ds:schemaRef ds:uri="http://schemas.openxmlformats.org/officeDocument/2006/bibliography"/>
  </ds:schemaRefs>
</ds:datastoreItem>
</file>

<file path=customXml/itemProps2.xml><?xml version="1.0" encoding="utf-8"?>
<ds:datastoreItem xmlns:ds="http://schemas.openxmlformats.org/officeDocument/2006/customXml" ds:itemID="{2EB18005-AA15-4215-983D-1D56F01E7AF4}"/>
</file>

<file path=customXml/itemProps3.xml><?xml version="1.0" encoding="utf-8"?>
<ds:datastoreItem xmlns:ds="http://schemas.openxmlformats.org/officeDocument/2006/customXml" ds:itemID="{F74082CC-4D73-48DD-B92D-80FF751CEA80}"/>
</file>

<file path=customXml/itemProps4.xml><?xml version="1.0" encoding="utf-8"?>
<ds:datastoreItem xmlns:ds="http://schemas.openxmlformats.org/officeDocument/2006/customXml" ds:itemID="{5B0C3C60-2F90-498E-A22B-6F7C8AF7E1A7}"/>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2175</Characters>
  <Application>Microsoft Office Word</Application>
  <DocSecurity>0</DocSecurity>
  <PresentationFormat>11|.DOC</PresentationFormat>
  <Lines>67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2022-07-26T17:51:00Z</dcterms:created>
  <dcterms:modified xsi:type="dcterms:W3CDTF">2022-07-26T17:51:00Z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