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17113" w14:textId="77777777" w:rsidR="00FB14EC" w:rsidRDefault="00FB14EC" w:rsidP="00FB14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Pr>
          <w:rFonts w:ascii="Times New Roman" w:hAnsi="Times New Roman"/>
          <w:b/>
          <w:bCs/>
          <w:sz w:val="24"/>
          <w:szCs w:val="24"/>
        </w:rPr>
        <w:t>Rule 1017-1</w:t>
      </w:r>
      <w:r>
        <w:rPr>
          <w:rFonts w:ascii="Times New Roman" w:hAnsi="Times New Roman"/>
          <w:b/>
          <w:bCs/>
          <w:sz w:val="24"/>
          <w:szCs w:val="24"/>
        </w:rPr>
        <w:tab/>
        <w:t>DISMISSAL OR CONVERSION OF BANKRUPTCY CASE</w:t>
      </w:r>
    </w:p>
    <w:p w14:paraId="20AB8B38" w14:textId="77777777" w:rsidR="00FB14EC" w:rsidRPr="0085711D" w:rsidRDefault="00FB14EC" w:rsidP="008571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rFonts w:ascii="Times New Roman" w:hAnsi="Times New Roman"/>
          <w:sz w:val="24"/>
          <w:szCs w:val="24"/>
        </w:rPr>
      </w:pPr>
    </w:p>
    <w:p w14:paraId="7008A85A" w14:textId="77777777" w:rsidR="00FB14EC" w:rsidRPr="0085711D" w:rsidRDefault="00FB14EC" w:rsidP="0085711D">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85711D">
        <w:rPr>
          <w:rFonts w:ascii="Times New Roman" w:hAnsi="Times New Roman"/>
          <w:sz w:val="24"/>
          <w:szCs w:val="24"/>
        </w:rPr>
        <w:t>A motion to dismiss a voluntary or involuntary bankruptcy petition shall set forth the reasons for the dismissal. The motion shall also set forth whether any arrangement or agreement has been made with any creditor or other person in connection with such application for dismissal and the terms thereof. In addition, any payment or consideration received or anticipated, lump sum or otherwise, shall be identified.</w:t>
      </w:r>
    </w:p>
    <w:p w14:paraId="172F80B4" w14:textId="77777777" w:rsidR="00FB14EC" w:rsidRPr="0085711D" w:rsidRDefault="00FB14EC" w:rsidP="008571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rFonts w:ascii="Times New Roman" w:hAnsi="Times New Roman"/>
          <w:sz w:val="24"/>
          <w:szCs w:val="24"/>
        </w:rPr>
      </w:pPr>
    </w:p>
    <w:p w14:paraId="1469448C" w14:textId="77777777" w:rsidR="00FB14EC" w:rsidRPr="0085711D" w:rsidRDefault="00FB14EC" w:rsidP="0085711D">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85711D">
        <w:rPr>
          <w:rFonts w:ascii="Times New Roman" w:hAnsi="Times New Roman"/>
          <w:sz w:val="24"/>
          <w:szCs w:val="24"/>
        </w:rPr>
        <w:t>A motion filed by a party other than the debtor to convert a Chapter 11 case to a Chapter 7 or to dismiss the case shall be scheduled initially for a hearing at a motion Court time on notice by the movant upon all creditors or, at the option of the moving party, only upon:</w:t>
      </w:r>
    </w:p>
    <w:p w14:paraId="25776975" w14:textId="77777777" w:rsidR="00FB14EC" w:rsidRPr="0085711D" w:rsidRDefault="00FB14EC" w:rsidP="0085711D">
      <w:pPr>
        <w:pStyle w:val="ListParagraph"/>
        <w:spacing w:before="29" w:after="0"/>
        <w:ind w:left="2160" w:hanging="720"/>
        <w:jc w:val="both"/>
        <w:rPr>
          <w:rFonts w:ascii="Times New Roman" w:hAnsi="Times New Roman"/>
          <w:sz w:val="24"/>
          <w:szCs w:val="24"/>
        </w:rPr>
      </w:pPr>
    </w:p>
    <w:p w14:paraId="711562A0" w14:textId="77777777" w:rsidR="00FB14EC" w:rsidRPr="0085711D" w:rsidRDefault="00FB14EC" w:rsidP="0085711D">
      <w:pPr>
        <w:numPr>
          <w:ilvl w:val="0"/>
          <w:numId w:val="2"/>
        </w:numPr>
        <w:tabs>
          <w:tab w:val="left" w:pos="720"/>
          <w:tab w:val="left" w:pos="1440"/>
          <w:tab w:val="left" w:pos="2160"/>
          <w:tab w:val="left" w:pos="2880"/>
          <w:tab w:val="left" w:pos="3600"/>
          <w:tab w:val="left" w:pos="4320"/>
          <w:tab w:val="left" w:pos="5040"/>
          <w:tab w:val="left" w:pos="9648"/>
        </w:tabs>
        <w:spacing w:before="29" w:line="276" w:lineRule="auto"/>
        <w:ind w:left="2160" w:hanging="720"/>
        <w:jc w:val="both"/>
        <w:rPr>
          <w:rFonts w:ascii="Times New Roman" w:hAnsi="Times New Roman"/>
          <w:sz w:val="24"/>
          <w:szCs w:val="24"/>
        </w:rPr>
      </w:pPr>
      <w:r w:rsidRPr="0085711D">
        <w:rPr>
          <w:rFonts w:ascii="Times New Roman" w:hAnsi="Times New Roman"/>
          <w:sz w:val="24"/>
          <w:szCs w:val="24"/>
        </w:rPr>
        <w:t>counsel for debtor;</w:t>
      </w:r>
    </w:p>
    <w:p w14:paraId="5C758C02" w14:textId="77777777" w:rsidR="00FB14EC" w:rsidRPr="0085711D" w:rsidRDefault="00FB14EC" w:rsidP="0085711D">
      <w:pPr>
        <w:tabs>
          <w:tab w:val="left" w:pos="720"/>
          <w:tab w:val="left" w:pos="1440"/>
          <w:tab w:val="left" w:pos="2160"/>
          <w:tab w:val="left" w:pos="2880"/>
          <w:tab w:val="left" w:pos="3600"/>
          <w:tab w:val="left" w:pos="4320"/>
          <w:tab w:val="left" w:pos="5040"/>
          <w:tab w:val="left" w:pos="9648"/>
        </w:tabs>
        <w:spacing w:before="29" w:line="276" w:lineRule="auto"/>
        <w:ind w:left="2160" w:hanging="720"/>
        <w:jc w:val="both"/>
        <w:rPr>
          <w:rFonts w:ascii="Times New Roman" w:hAnsi="Times New Roman"/>
          <w:sz w:val="24"/>
          <w:szCs w:val="24"/>
        </w:rPr>
      </w:pPr>
    </w:p>
    <w:p w14:paraId="24891A8B" w14:textId="77777777" w:rsidR="00FB14EC" w:rsidRPr="0085711D" w:rsidRDefault="00FB14EC" w:rsidP="0085711D">
      <w:pPr>
        <w:numPr>
          <w:ilvl w:val="0"/>
          <w:numId w:val="2"/>
        </w:numPr>
        <w:tabs>
          <w:tab w:val="left" w:pos="720"/>
          <w:tab w:val="left" w:pos="1440"/>
          <w:tab w:val="left" w:pos="2160"/>
          <w:tab w:val="left" w:pos="2880"/>
          <w:tab w:val="left" w:pos="3600"/>
          <w:tab w:val="left" w:pos="4320"/>
          <w:tab w:val="left" w:pos="5040"/>
          <w:tab w:val="left" w:pos="9648"/>
        </w:tabs>
        <w:spacing w:before="29" w:line="276" w:lineRule="auto"/>
        <w:ind w:left="2160" w:hanging="720"/>
        <w:jc w:val="both"/>
        <w:rPr>
          <w:rFonts w:ascii="Times New Roman" w:hAnsi="Times New Roman"/>
          <w:sz w:val="24"/>
          <w:szCs w:val="24"/>
        </w:rPr>
      </w:pPr>
      <w:r w:rsidRPr="0085711D">
        <w:rPr>
          <w:rFonts w:ascii="Times New Roman" w:hAnsi="Times New Roman"/>
          <w:sz w:val="24"/>
          <w:szCs w:val="24"/>
        </w:rPr>
        <w:t xml:space="preserve">United States trustee; </w:t>
      </w:r>
    </w:p>
    <w:p w14:paraId="3ACC1CF7" w14:textId="77777777" w:rsidR="00FB14EC" w:rsidRPr="0085711D" w:rsidRDefault="00FB14EC" w:rsidP="0085711D">
      <w:pPr>
        <w:pStyle w:val="ListParagraph"/>
        <w:spacing w:before="29" w:after="0"/>
        <w:ind w:left="2160" w:hanging="720"/>
        <w:jc w:val="both"/>
        <w:rPr>
          <w:rFonts w:ascii="Times New Roman" w:hAnsi="Times New Roman"/>
          <w:sz w:val="24"/>
          <w:szCs w:val="24"/>
        </w:rPr>
      </w:pPr>
    </w:p>
    <w:p w14:paraId="437FFABC" w14:textId="77777777" w:rsidR="00FB14EC" w:rsidRPr="0085711D" w:rsidRDefault="00FB14EC" w:rsidP="0085711D">
      <w:pPr>
        <w:numPr>
          <w:ilvl w:val="0"/>
          <w:numId w:val="2"/>
        </w:numPr>
        <w:tabs>
          <w:tab w:val="left" w:pos="720"/>
          <w:tab w:val="left" w:pos="1440"/>
          <w:tab w:val="left" w:pos="2160"/>
          <w:tab w:val="left" w:pos="2880"/>
          <w:tab w:val="left" w:pos="3600"/>
          <w:tab w:val="left" w:pos="4320"/>
          <w:tab w:val="left" w:pos="5040"/>
          <w:tab w:val="left" w:pos="9648"/>
        </w:tabs>
        <w:spacing w:before="29" w:line="276" w:lineRule="auto"/>
        <w:ind w:left="2160" w:hanging="720"/>
        <w:jc w:val="both"/>
        <w:rPr>
          <w:rFonts w:ascii="Times New Roman" w:hAnsi="Times New Roman"/>
          <w:sz w:val="24"/>
          <w:szCs w:val="24"/>
        </w:rPr>
      </w:pPr>
      <w:r w:rsidRPr="0085711D">
        <w:rPr>
          <w:rFonts w:ascii="Times New Roman" w:hAnsi="Times New Roman"/>
          <w:sz w:val="24"/>
          <w:szCs w:val="24"/>
        </w:rPr>
        <w:t>any person who has filed a request for notices in the case;</w:t>
      </w:r>
    </w:p>
    <w:p w14:paraId="1FC2D152" w14:textId="77777777" w:rsidR="00FB14EC" w:rsidRPr="0085711D" w:rsidRDefault="00FB14EC" w:rsidP="0085711D">
      <w:pPr>
        <w:pStyle w:val="ListParagraph"/>
        <w:spacing w:before="29" w:after="0"/>
        <w:ind w:left="2160" w:hanging="720"/>
        <w:jc w:val="both"/>
        <w:rPr>
          <w:rFonts w:ascii="Times New Roman" w:hAnsi="Times New Roman"/>
          <w:sz w:val="24"/>
          <w:szCs w:val="24"/>
        </w:rPr>
      </w:pPr>
    </w:p>
    <w:p w14:paraId="0FE4F429" w14:textId="77777777" w:rsidR="00FB14EC" w:rsidRPr="0085711D" w:rsidRDefault="00FB14EC" w:rsidP="0085711D">
      <w:pPr>
        <w:numPr>
          <w:ilvl w:val="0"/>
          <w:numId w:val="2"/>
        </w:numPr>
        <w:tabs>
          <w:tab w:val="left" w:pos="720"/>
          <w:tab w:val="left" w:pos="1440"/>
          <w:tab w:val="left" w:pos="2160"/>
          <w:tab w:val="left" w:pos="2880"/>
          <w:tab w:val="left" w:pos="3600"/>
          <w:tab w:val="left" w:pos="4320"/>
          <w:tab w:val="left" w:pos="5040"/>
          <w:tab w:val="left" w:pos="9648"/>
        </w:tabs>
        <w:spacing w:before="29" w:line="276" w:lineRule="auto"/>
        <w:ind w:left="2160" w:hanging="720"/>
        <w:jc w:val="both"/>
        <w:rPr>
          <w:rFonts w:ascii="Times New Roman" w:hAnsi="Times New Roman"/>
          <w:sz w:val="24"/>
          <w:szCs w:val="24"/>
        </w:rPr>
      </w:pPr>
      <w:r w:rsidRPr="0085711D">
        <w:rPr>
          <w:rFonts w:ascii="Times New Roman" w:hAnsi="Times New Roman"/>
          <w:sz w:val="24"/>
          <w:szCs w:val="24"/>
        </w:rPr>
        <w:t xml:space="preserve">the IRS Office of the District Counsel in Pittsburgh at the address listed in the Address Appendix located in the Local Bankruptcy Rules section of the Court’s website; </w:t>
      </w:r>
    </w:p>
    <w:p w14:paraId="5D77734D" w14:textId="77777777" w:rsidR="00FB14EC" w:rsidRPr="0085711D" w:rsidRDefault="00FB14EC" w:rsidP="0085711D">
      <w:pPr>
        <w:pStyle w:val="ListParagraph"/>
        <w:spacing w:before="29" w:after="0"/>
        <w:ind w:left="2160" w:hanging="720"/>
        <w:jc w:val="both"/>
        <w:rPr>
          <w:rFonts w:ascii="Times New Roman" w:hAnsi="Times New Roman"/>
          <w:sz w:val="24"/>
          <w:szCs w:val="24"/>
        </w:rPr>
      </w:pPr>
    </w:p>
    <w:p w14:paraId="4A8F49D5" w14:textId="77777777" w:rsidR="00FB14EC" w:rsidRPr="0085711D" w:rsidRDefault="00FB14EC" w:rsidP="0085711D">
      <w:pPr>
        <w:numPr>
          <w:ilvl w:val="0"/>
          <w:numId w:val="2"/>
        </w:numPr>
        <w:tabs>
          <w:tab w:val="left" w:pos="720"/>
          <w:tab w:val="left" w:pos="1440"/>
          <w:tab w:val="left" w:pos="2160"/>
          <w:tab w:val="left" w:pos="2880"/>
          <w:tab w:val="left" w:pos="3600"/>
          <w:tab w:val="left" w:pos="4320"/>
          <w:tab w:val="left" w:pos="5040"/>
          <w:tab w:val="left" w:pos="9648"/>
        </w:tabs>
        <w:spacing w:before="29" w:line="276" w:lineRule="auto"/>
        <w:ind w:left="2160" w:hanging="720"/>
        <w:jc w:val="both"/>
        <w:rPr>
          <w:rFonts w:ascii="Times New Roman" w:hAnsi="Times New Roman"/>
          <w:sz w:val="24"/>
          <w:szCs w:val="24"/>
        </w:rPr>
      </w:pPr>
      <w:r w:rsidRPr="0085711D">
        <w:rPr>
          <w:rFonts w:ascii="Times New Roman" w:hAnsi="Times New Roman"/>
          <w:sz w:val="24"/>
          <w:szCs w:val="24"/>
        </w:rPr>
        <w:t>the Commonwealth of Pennsylvania Department of Revenue at the address listed in the Address Appendix located in the Local Bankruptcy Rules section of the Court’s website;</w:t>
      </w:r>
    </w:p>
    <w:p w14:paraId="761049B1" w14:textId="77777777" w:rsidR="00FB14EC" w:rsidRPr="0085711D" w:rsidRDefault="00FB14EC" w:rsidP="0085711D">
      <w:pPr>
        <w:pStyle w:val="ListParagraph"/>
        <w:spacing w:before="29" w:after="0"/>
        <w:ind w:left="2160" w:hanging="720"/>
        <w:jc w:val="both"/>
        <w:rPr>
          <w:rFonts w:ascii="Times New Roman" w:hAnsi="Times New Roman"/>
          <w:sz w:val="24"/>
          <w:szCs w:val="24"/>
        </w:rPr>
      </w:pPr>
    </w:p>
    <w:p w14:paraId="69E7F8EB" w14:textId="77777777" w:rsidR="00FB14EC" w:rsidRPr="0085711D" w:rsidRDefault="00FB14EC" w:rsidP="0085711D">
      <w:pPr>
        <w:numPr>
          <w:ilvl w:val="0"/>
          <w:numId w:val="2"/>
        </w:numPr>
        <w:tabs>
          <w:tab w:val="left" w:pos="720"/>
          <w:tab w:val="left" w:pos="1440"/>
          <w:tab w:val="left" w:pos="2160"/>
          <w:tab w:val="left" w:pos="2880"/>
          <w:tab w:val="left" w:pos="3600"/>
          <w:tab w:val="left" w:pos="4320"/>
          <w:tab w:val="left" w:pos="5040"/>
          <w:tab w:val="left" w:pos="9648"/>
        </w:tabs>
        <w:spacing w:before="29" w:line="276" w:lineRule="auto"/>
        <w:ind w:left="2160" w:hanging="720"/>
        <w:jc w:val="both"/>
        <w:rPr>
          <w:rFonts w:ascii="Times New Roman" w:hAnsi="Times New Roman"/>
          <w:sz w:val="24"/>
          <w:szCs w:val="24"/>
        </w:rPr>
      </w:pPr>
      <w:r w:rsidRPr="0085711D">
        <w:rPr>
          <w:rFonts w:ascii="Times New Roman" w:hAnsi="Times New Roman"/>
          <w:sz w:val="24"/>
          <w:szCs w:val="24"/>
        </w:rPr>
        <w:t>the Commonwealth of Pennsylvania Department of Labor and Industry, at the address listed in the Address Appendix located in the Local Bankruptcy Rules section of the Court’s website;</w:t>
      </w:r>
    </w:p>
    <w:p w14:paraId="034545B0" w14:textId="77777777" w:rsidR="00FB14EC" w:rsidRPr="0085711D" w:rsidRDefault="00FB14EC" w:rsidP="0085711D">
      <w:pPr>
        <w:pStyle w:val="ListParagraph"/>
        <w:spacing w:before="29" w:after="0"/>
        <w:ind w:left="2160" w:hanging="720"/>
        <w:jc w:val="both"/>
        <w:rPr>
          <w:rFonts w:ascii="Times New Roman" w:hAnsi="Times New Roman"/>
          <w:sz w:val="24"/>
          <w:szCs w:val="24"/>
        </w:rPr>
      </w:pPr>
    </w:p>
    <w:p w14:paraId="138F1D26" w14:textId="77777777" w:rsidR="00FB14EC" w:rsidRPr="0085711D" w:rsidRDefault="00FB14EC" w:rsidP="0085711D">
      <w:pPr>
        <w:numPr>
          <w:ilvl w:val="0"/>
          <w:numId w:val="2"/>
        </w:numPr>
        <w:tabs>
          <w:tab w:val="left" w:pos="720"/>
          <w:tab w:val="left" w:pos="1440"/>
          <w:tab w:val="left" w:pos="2160"/>
          <w:tab w:val="left" w:pos="2880"/>
          <w:tab w:val="left" w:pos="3600"/>
          <w:tab w:val="left" w:pos="4320"/>
          <w:tab w:val="left" w:pos="5040"/>
          <w:tab w:val="left" w:pos="9648"/>
        </w:tabs>
        <w:spacing w:before="29" w:line="276" w:lineRule="auto"/>
        <w:ind w:left="2160" w:hanging="720"/>
        <w:jc w:val="both"/>
        <w:rPr>
          <w:rFonts w:ascii="Times New Roman" w:hAnsi="Times New Roman"/>
          <w:sz w:val="24"/>
          <w:szCs w:val="24"/>
        </w:rPr>
      </w:pPr>
      <w:r w:rsidRPr="0085711D">
        <w:rPr>
          <w:rFonts w:ascii="Times New Roman" w:hAnsi="Times New Roman"/>
          <w:sz w:val="24"/>
          <w:szCs w:val="24"/>
        </w:rPr>
        <w:t>other taxing body creditors;</w:t>
      </w:r>
    </w:p>
    <w:p w14:paraId="745DF4B9" w14:textId="77777777" w:rsidR="00FB14EC" w:rsidRPr="0085711D" w:rsidRDefault="00FB14EC" w:rsidP="0085711D">
      <w:pPr>
        <w:pStyle w:val="ListParagraph"/>
        <w:spacing w:before="29" w:after="0"/>
        <w:ind w:left="2160" w:hanging="720"/>
        <w:jc w:val="both"/>
        <w:rPr>
          <w:rFonts w:ascii="Times New Roman" w:hAnsi="Times New Roman"/>
          <w:sz w:val="24"/>
          <w:szCs w:val="24"/>
        </w:rPr>
      </w:pPr>
    </w:p>
    <w:p w14:paraId="53825DB5" w14:textId="77777777" w:rsidR="00FB14EC" w:rsidRPr="0085711D" w:rsidRDefault="00FB14EC" w:rsidP="0085711D">
      <w:pPr>
        <w:numPr>
          <w:ilvl w:val="0"/>
          <w:numId w:val="2"/>
        </w:numPr>
        <w:tabs>
          <w:tab w:val="left" w:pos="720"/>
          <w:tab w:val="left" w:pos="1440"/>
          <w:tab w:val="left" w:pos="2160"/>
          <w:tab w:val="left" w:pos="2880"/>
          <w:tab w:val="left" w:pos="3600"/>
          <w:tab w:val="left" w:pos="4320"/>
          <w:tab w:val="left" w:pos="5040"/>
          <w:tab w:val="left" w:pos="9648"/>
        </w:tabs>
        <w:spacing w:before="29" w:line="276" w:lineRule="auto"/>
        <w:ind w:left="2160" w:hanging="720"/>
        <w:jc w:val="both"/>
        <w:rPr>
          <w:rFonts w:ascii="Times New Roman" w:hAnsi="Times New Roman"/>
          <w:sz w:val="24"/>
          <w:szCs w:val="24"/>
        </w:rPr>
      </w:pPr>
      <w:r w:rsidRPr="0085711D">
        <w:rPr>
          <w:rFonts w:ascii="Times New Roman" w:hAnsi="Times New Roman"/>
          <w:sz w:val="24"/>
          <w:szCs w:val="24"/>
        </w:rPr>
        <w:t>all secured creditors;</w:t>
      </w:r>
    </w:p>
    <w:p w14:paraId="4B51D660" w14:textId="77777777" w:rsidR="00FB14EC" w:rsidRPr="0085711D" w:rsidRDefault="00FB14EC" w:rsidP="0085711D">
      <w:pPr>
        <w:pStyle w:val="ListParagraph"/>
        <w:spacing w:before="29" w:after="0"/>
        <w:ind w:left="2160" w:hanging="720"/>
        <w:jc w:val="both"/>
        <w:rPr>
          <w:rFonts w:ascii="Times New Roman" w:hAnsi="Times New Roman"/>
          <w:sz w:val="24"/>
          <w:szCs w:val="24"/>
        </w:rPr>
      </w:pPr>
    </w:p>
    <w:p w14:paraId="1D99F0C0" w14:textId="77777777" w:rsidR="00FB14EC" w:rsidRPr="0085711D" w:rsidRDefault="00FB14EC" w:rsidP="0085711D">
      <w:pPr>
        <w:numPr>
          <w:ilvl w:val="0"/>
          <w:numId w:val="2"/>
        </w:numPr>
        <w:tabs>
          <w:tab w:val="left" w:pos="720"/>
          <w:tab w:val="left" w:pos="1440"/>
          <w:tab w:val="left" w:pos="2160"/>
          <w:tab w:val="left" w:pos="2880"/>
          <w:tab w:val="left" w:pos="3600"/>
          <w:tab w:val="left" w:pos="4320"/>
          <w:tab w:val="left" w:pos="5040"/>
          <w:tab w:val="left" w:pos="9648"/>
        </w:tabs>
        <w:spacing w:before="29" w:line="276" w:lineRule="auto"/>
        <w:ind w:left="2160" w:hanging="720"/>
        <w:jc w:val="both"/>
        <w:rPr>
          <w:rFonts w:ascii="Times New Roman" w:hAnsi="Times New Roman"/>
          <w:sz w:val="24"/>
          <w:szCs w:val="24"/>
        </w:rPr>
      </w:pPr>
      <w:r w:rsidRPr="0085711D">
        <w:rPr>
          <w:rFonts w:ascii="Times New Roman" w:hAnsi="Times New Roman"/>
          <w:sz w:val="24"/>
          <w:szCs w:val="24"/>
        </w:rPr>
        <w:t xml:space="preserve">the attorney for the </w:t>
      </w:r>
      <w:proofErr w:type="gramStart"/>
      <w:r w:rsidRPr="0085711D">
        <w:rPr>
          <w:rFonts w:ascii="Times New Roman" w:hAnsi="Times New Roman"/>
          <w:sz w:val="24"/>
          <w:szCs w:val="24"/>
        </w:rPr>
        <w:t>creditors’</w:t>
      </w:r>
      <w:proofErr w:type="gramEnd"/>
      <w:r w:rsidRPr="0085711D">
        <w:rPr>
          <w:rFonts w:ascii="Times New Roman" w:hAnsi="Times New Roman"/>
          <w:sz w:val="24"/>
          <w:szCs w:val="24"/>
        </w:rPr>
        <w:t xml:space="preserve"> and other committees or, if none, then on the seven (7) largest unsecured creditors.; and</w:t>
      </w:r>
    </w:p>
    <w:p w14:paraId="35B5C15B" w14:textId="77777777" w:rsidR="00FB14EC" w:rsidRPr="0085711D" w:rsidRDefault="00FB14EC" w:rsidP="0085711D">
      <w:pPr>
        <w:pStyle w:val="ListParagraph"/>
        <w:spacing w:before="29" w:after="0"/>
        <w:ind w:left="2160" w:hanging="720"/>
        <w:jc w:val="both"/>
        <w:rPr>
          <w:rFonts w:ascii="Times New Roman" w:hAnsi="Times New Roman"/>
          <w:sz w:val="24"/>
          <w:szCs w:val="24"/>
        </w:rPr>
      </w:pPr>
    </w:p>
    <w:p w14:paraId="18C77E1A" w14:textId="77777777" w:rsidR="00FB14EC" w:rsidRPr="0085711D" w:rsidRDefault="00FB14EC" w:rsidP="0085711D">
      <w:pPr>
        <w:numPr>
          <w:ilvl w:val="0"/>
          <w:numId w:val="2"/>
        </w:numPr>
        <w:tabs>
          <w:tab w:val="left" w:pos="720"/>
          <w:tab w:val="left" w:pos="1440"/>
          <w:tab w:val="left" w:pos="2160"/>
          <w:tab w:val="left" w:pos="2880"/>
          <w:tab w:val="left" w:pos="3600"/>
          <w:tab w:val="left" w:pos="4320"/>
          <w:tab w:val="left" w:pos="5040"/>
          <w:tab w:val="left" w:pos="9648"/>
        </w:tabs>
        <w:spacing w:before="29" w:line="276" w:lineRule="auto"/>
        <w:ind w:left="2160" w:hanging="720"/>
        <w:jc w:val="both"/>
        <w:rPr>
          <w:rFonts w:ascii="Times New Roman" w:hAnsi="Times New Roman"/>
          <w:sz w:val="24"/>
          <w:szCs w:val="24"/>
        </w:rPr>
      </w:pPr>
      <w:r w:rsidRPr="0085711D">
        <w:rPr>
          <w:rFonts w:ascii="Times New Roman" w:hAnsi="Times New Roman"/>
          <w:sz w:val="24"/>
          <w:szCs w:val="24"/>
        </w:rPr>
        <w:t>creditors claiming they are owed domestic support obligation.</w:t>
      </w:r>
    </w:p>
    <w:p w14:paraId="383D6E35" w14:textId="77777777" w:rsidR="00FB14EC" w:rsidRPr="0085711D" w:rsidRDefault="00FB14EC" w:rsidP="00FB14EC">
      <w:pPr>
        <w:tabs>
          <w:tab w:val="left" w:pos="720"/>
          <w:tab w:val="left" w:pos="1440"/>
          <w:tab w:val="left" w:pos="2160"/>
          <w:tab w:val="left" w:pos="2880"/>
          <w:tab w:val="left" w:pos="3600"/>
          <w:tab w:val="left" w:pos="4320"/>
          <w:tab w:val="left" w:pos="5040"/>
          <w:tab w:val="left" w:pos="9648"/>
        </w:tabs>
        <w:jc w:val="both"/>
        <w:rPr>
          <w:rFonts w:ascii="Times New Roman" w:hAnsi="Times New Roman"/>
          <w:sz w:val="24"/>
          <w:szCs w:val="24"/>
        </w:rPr>
      </w:pPr>
    </w:p>
    <w:p w14:paraId="27B9BB07" w14:textId="77777777" w:rsidR="00FB14EC" w:rsidRPr="0085711D" w:rsidRDefault="00FB14EC" w:rsidP="0085711D">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85711D">
        <w:rPr>
          <w:rFonts w:ascii="Times New Roman" w:hAnsi="Times New Roman"/>
          <w:sz w:val="24"/>
          <w:szCs w:val="24"/>
        </w:rPr>
        <w:t>A motion filed by a party other than the debtor to convert or dismiss a Chapter 13 case shall be scheduled initially for a hearing before the Presiding Judge on a Chapter 13 motions day.</w:t>
      </w:r>
    </w:p>
    <w:p w14:paraId="1B48B1DE" w14:textId="77777777" w:rsidR="00FB14EC" w:rsidRPr="0085711D" w:rsidRDefault="00FB14EC" w:rsidP="0085711D">
      <w:pPr>
        <w:pStyle w:val="ListParagraph"/>
        <w:spacing w:before="29" w:after="0"/>
        <w:ind w:left="0" w:firstLine="720"/>
        <w:jc w:val="both"/>
        <w:rPr>
          <w:rFonts w:ascii="Times New Roman" w:hAnsi="Times New Roman"/>
          <w:sz w:val="24"/>
          <w:szCs w:val="24"/>
        </w:rPr>
      </w:pPr>
    </w:p>
    <w:p w14:paraId="4EDC5F93" w14:textId="77777777" w:rsidR="00FB14EC" w:rsidRPr="0085711D" w:rsidRDefault="00FB14EC" w:rsidP="0085711D">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85711D">
        <w:rPr>
          <w:rFonts w:ascii="Times New Roman" w:hAnsi="Times New Roman"/>
          <w:sz w:val="24"/>
          <w:szCs w:val="24"/>
        </w:rPr>
        <w:t>Upon the filing by the Chapter 13 trustee of a Certificate of Default Recommending Dismissal of Case based upon plan payment defaults, the debtor shall file and serve a written response accompanied by documentation that at least one (1) full plan payment was sent to the Chapter 13 trustee’s lock box after the date of the Certificate of Default.</w:t>
      </w:r>
    </w:p>
    <w:p w14:paraId="774B60A4" w14:textId="77777777" w:rsidR="00FB14EC" w:rsidRPr="0085711D" w:rsidRDefault="00FB14EC" w:rsidP="0085711D">
      <w:pPr>
        <w:tabs>
          <w:tab w:val="left" w:pos="720"/>
          <w:tab w:val="left" w:pos="1440"/>
          <w:tab w:val="left" w:pos="2160"/>
          <w:tab w:val="left" w:pos="2880"/>
          <w:tab w:val="left" w:pos="3600"/>
          <w:tab w:val="left" w:pos="4320"/>
          <w:tab w:val="left" w:pos="5040"/>
          <w:tab w:val="left" w:pos="9648"/>
        </w:tabs>
        <w:spacing w:before="29" w:line="276" w:lineRule="auto"/>
        <w:ind w:firstLine="720"/>
        <w:jc w:val="both"/>
        <w:rPr>
          <w:rFonts w:ascii="Times New Roman" w:hAnsi="Times New Roman"/>
          <w:sz w:val="24"/>
          <w:szCs w:val="24"/>
        </w:rPr>
      </w:pPr>
    </w:p>
    <w:p w14:paraId="21C77668" w14:textId="77777777" w:rsidR="00FB14EC" w:rsidRPr="0085711D" w:rsidRDefault="00FB14EC" w:rsidP="0085711D">
      <w:pPr>
        <w:numPr>
          <w:ilvl w:val="0"/>
          <w:numId w:val="3"/>
        </w:numPr>
        <w:tabs>
          <w:tab w:val="left" w:pos="720"/>
          <w:tab w:val="left" w:pos="1440"/>
          <w:tab w:val="left" w:pos="2160"/>
          <w:tab w:val="left" w:pos="2880"/>
          <w:tab w:val="left" w:pos="3600"/>
          <w:tab w:val="left" w:pos="4320"/>
          <w:tab w:val="left" w:pos="5040"/>
          <w:tab w:val="left" w:pos="9648"/>
        </w:tabs>
        <w:spacing w:before="29" w:line="276" w:lineRule="auto"/>
        <w:ind w:hanging="720"/>
        <w:jc w:val="both"/>
        <w:rPr>
          <w:rFonts w:ascii="Times New Roman" w:hAnsi="Times New Roman"/>
          <w:sz w:val="24"/>
          <w:szCs w:val="24"/>
        </w:rPr>
      </w:pPr>
      <w:r w:rsidRPr="0085711D">
        <w:rPr>
          <w:rFonts w:ascii="Times New Roman" w:hAnsi="Times New Roman"/>
          <w:sz w:val="24"/>
          <w:szCs w:val="24"/>
        </w:rPr>
        <w:t>The debtor’s failure to respond in accordance with the requirement of the order will result in the dismissal of the case without a hearing.</w:t>
      </w:r>
    </w:p>
    <w:p w14:paraId="7C162CF3" w14:textId="77777777" w:rsidR="00FB14EC" w:rsidRPr="0085711D" w:rsidRDefault="00FB14EC" w:rsidP="0085711D">
      <w:pPr>
        <w:tabs>
          <w:tab w:val="left" w:pos="720"/>
          <w:tab w:val="left" w:pos="1440"/>
          <w:tab w:val="left" w:pos="2160"/>
          <w:tab w:val="left" w:pos="2880"/>
          <w:tab w:val="left" w:pos="3600"/>
          <w:tab w:val="left" w:pos="4320"/>
          <w:tab w:val="left" w:pos="5040"/>
          <w:tab w:val="left" w:pos="9648"/>
        </w:tabs>
        <w:spacing w:before="29" w:line="276" w:lineRule="auto"/>
        <w:ind w:left="2160" w:hanging="720"/>
        <w:jc w:val="both"/>
        <w:rPr>
          <w:rFonts w:ascii="Times New Roman" w:hAnsi="Times New Roman"/>
          <w:sz w:val="24"/>
          <w:szCs w:val="24"/>
        </w:rPr>
      </w:pPr>
    </w:p>
    <w:p w14:paraId="79C756D1" w14:textId="77777777" w:rsidR="00FB14EC" w:rsidRPr="0085711D" w:rsidRDefault="00FB14EC" w:rsidP="0085711D">
      <w:pPr>
        <w:numPr>
          <w:ilvl w:val="0"/>
          <w:numId w:val="3"/>
        </w:numPr>
        <w:tabs>
          <w:tab w:val="left" w:pos="720"/>
          <w:tab w:val="left" w:pos="1440"/>
          <w:tab w:val="left" w:pos="2160"/>
          <w:tab w:val="left" w:pos="2880"/>
          <w:tab w:val="left" w:pos="3600"/>
          <w:tab w:val="left" w:pos="4320"/>
          <w:tab w:val="left" w:pos="5040"/>
          <w:tab w:val="left" w:pos="9648"/>
        </w:tabs>
        <w:spacing w:before="29" w:line="276" w:lineRule="auto"/>
        <w:ind w:hanging="720"/>
        <w:jc w:val="both"/>
        <w:rPr>
          <w:rFonts w:ascii="Times New Roman" w:hAnsi="Times New Roman"/>
          <w:sz w:val="24"/>
          <w:szCs w:val="24"/>
        </w:rPr>
      </w:pPr>
      <w:r w:rsidRPr="0085711D">
        <w:rPr>
          <w:rFonts w:ascii="Times New Roman" w:hAnsi="Times New Roman"/>
          <w:sz w:val="24"/>
          <w:szCs w:val="24"/>
        </w:rPr>
        <w:t>The response shall</w:t>
      </w:r>
      <w:r w:rsidRPr="0085711D">
        <w:rPr>
          <w:rFonts w:ascii="Times New Roman" w:hAnsi="Times New Roman"/>
          <w:b/>
          <w:bCs/>
          <w:sz w:val="24"/>
          <w:szCs w:val="24"/>
        </w:rPr>
        <w:t xml:space="preserve"> </w:t>
      </w:r>
      <w:r w:rsidRPr="0085711D">
        <w:rPr>
          <w:rFonts w:ascii="Times New Roman" w:hAnsi="Times New Roman"/>
          <w:sz w:val="24"/>
          <w:szCs w:val="24"/>
        </w:rPr>
        <w:t>set forth in detail the basis for denial of the Chapter 13 trustee’s request for dismissal and any prospective plan changes designed to cure the existing default. Proof of one (1) full plan payment shall</w:t>
      </w:r>
      <w:r w:rsidRPr="0085711D">
        <w:rPr>
          <w:rFonts w:ascii="Times New Roman" w:hAnsi="Times New Roman"/>
          <w:b/>
          <w:bCs/>
          <w:sz w:val="24"/>
          <w:szCs w:val="24"/>
        </w:rPr>
        <w:t xml:space="preserve"> </w:t>
      </w:r>
      <w:r w:rsidRPr="0085711D">
        <w:rPr>
          <w:rFonts w:ascii="Times New Roman" w:hAnsi="Times New Roman"/>
          <w:sz w:val="24"/>
          <w:szCs w:val="24"/>
        </w:rPr>
        <w:t>be attached to any response, including an amended plan.</w:t>
      </w:r>
    </w:p>
    <w:p w14:paraId="6F5A8988" w14:textId="77777777" w:rsidR="00FB14EC" w:rsidRPr="0085711D" w:rsidRDefault="00FB14EC" w:rsidP="0085711D">
      <w:pPr>
        <w:pStyle w:val="ListParagraph"/>
        <w:spacing w:before="29" w:after="0"/>
        <w:ind w:left="2160" w:hanging="720"/>
        <w:jc w:val="both"/>
        <w:rPr>
          <w:rFonts w:ascii="Times New Roman" w:hAnsi="Times New Roman"/>
          <w:sz w:val="24"/>
          <w:szCs w:val="24"/>
        </w:rPr>
      </w:pPr>
    </w:p>
    <w:p w14:paraId="7F5B1F1D" w14:textId="77777777" w:rsidR="00FB14EC" w:rsidRPr="0085711D" w:rsidRDefault="00FB14EC" w:rsidP="0085711D">
      <w:pPr>
        <w:numPr>
          <w:ilvl w:val="0"/>
          <w:numId w:val="3"/>
        </w:numPr>
        <w:tabs>
          <w:tab w:val="left" w:pos="720"/>
          <w:tab w:val="left" w:pos="1440"/>
          <w:tab w:val="left" w:pos="2160"/>
          <w:tab w:val="left" w:pos="2880"/>
          <w:tab w:val="left" w:pos="3600"/>
          <w:tab w:val="left" w:pos="4320"/>
          <w:tab w:val="left" w:pos="5040"/>
          <w:tab w:val="left" w:pos="9648"/>
        </w:tabs>
        <w:spacing w:before="29" w:line="276" w:lineRule="auto"/>
        <w:ind w:hanging="720"/>
        <w:jc w:val="both"/>
        <w:rPr>
          <w:rFonts w:ascii="Times New Roman" w:hAnsi="Times New Roman"/>
          <w:sz w:val="24"/>
          <w:szCs w:val="24"/>
        </w:rPr>
      </w:pPr>
      <w:r w:rsidRPr="0085711D">
        <w:rPr>
          <w:rFonts w:ascii="Times New Roman" w:hAnsi="Times New Roman"/>
          <w:sz w:val="24"/>
          <w:szCs w:val="24"/>
        </w:rPr>
        <w:t>If the response proposes that additional payments will be made prior to the hearing scheduled on the motion, verification of such payments shall</w:t>
      </w:r>
      <w:r w:rsidRPr="0085711D">
        <w:rPr>
          <w:rFonts w:ascii="Times New Roman" w:hAnsi="Times New Roman"/>
          <w:b/>
          <w:bCs/>
          <w:sz w:val="24"/>
          <w:szCs w:val="24"/>
        </w:rPr>
        <w:t xml:space="preserve"> </w:t>
      </w:r>
      <w:r w:rsidRPr="0085711D">
        <w:rPr>
          <w:rFonts w:ascii="Times New Roman" w:hAnsi="Times New Roman"/>
          <w:sz w:val="24"/>
          <w:szCs w:val="24"/>
        </w:rPr>
        <w:t>be made to the Court contemporaneously with delivery of payment to the Chapter 13 trustee.</w:t>
      </w:r>
    </w:p>
    <w:p w14:paraId="65C58D59" w14:textId="77777777" w:rsidR="00FB14EC" w:rsidRPr="0085711D" w:rsidRDefault="00FB14EC" w:rsidP="0085711D">
      <w:pPr>
        <w:pStyle w:val="ListParagraph"/>
        <w:spacing w:before="29" w:after="0"/>
        <w:ind w:left="2160" w:hanging="720"/>
        <w:jc w:val="both"/>
        <w:rPr>
          <w:rFonts w:ascii="Times New Roman" w:hAnsi="Times New Roman"/>
          <w:sz w:val="24"/>
          <w:szCs w:val="24"/>
        </w:rPr>
      </w:pPr>
    </w:p>
    <w:p w14:paraId="66CC8C3C" w14:textId="77777777" w:rsidR="00FB14EC" w:rsidRPr="0085711D" w:rsidRDefault="00FB14EC" w:rsidP="0085711D">
      <w:pPr>
        <w:numPr>
          <w:ilvl w:val="0"/>
          <w:numId w:val="3"/>
        </w:numPr>
        <w:tabs>
          <w:tab w:val="left" w:pos="720"/>
          <w:tab w:val="left" w:pos="1440"/>
          <w:tab w:val="left" w:pos="2160"/>
          <w:tab w:val="left" w:pos="2880"/>
          <w:tab w:val="left" w:pos="3600"/>
          <w:tab w:val="left" w:pos="4320"/>
          <w:tab w:val="left" w:pos="5040"/>
          <w:tab w:val="left" w:pos="9648"/>
        </w:tabs>
        <w:spacing w:before="29" w:line="276" w:lineRule="auto"/>
        <w:ind w:hanging="720"/>
        <w:jc w:val="both"/>
        <w:rPr>
          <w:rFonts w:ascii="Times New Roman" w:hAnsi="Times New Roman"/>
          <w:sz w:val="24"/>
          <w:szCs w:val="24"/>
        </w:rPr>
      </w:pPr>
      <w:r w:rsidRPr="0085711D">
        <w:rPr>
          <w:rFonts w:ascii="Times New Roman" w:hAnsi="Times New Roman"/>
          <w:sz w:val="24"/>
          <w:szCs w:val="24"/>
        </w:rPr>
        <w:t>If the response indicates that the plan payment is to be increased in order to cure the existing default, the new payment shall</w:t>
      </w:r>
      <w:r w:rsidRPr="0085711D">
        <w:rPr>
          <w:rFonts w:ascii="Times New Roman" w:hAnsi="Times New Roman"/>
          <w:b/>
          <w:bCs/>
          <w:sz w:val="24"/>
          <w:szCs w:val="24"/>
        </w:rPr>
        <w:t xml:space="preserve"> </w:t>
      </w:r>
      <w:r w:rsidRPr="0085711D">
        <w:rPr>
          <w:rFonts w:ascii="Times New Roman" w:hAnsi="Times New Roman"/>
          <w:sz w:val="24"/>
          <w:szCs w:val="24"/>
        </w:rPr>
        <w:t>be identified in the response, and the plan shall be deemed amended as of the date of the response to include the adjusted payment.</w:t>
      </w:r>
    </w:p>
    <w:p w14:paraId="502CD222" w14:textId="77777777" w:rsidR="00FB14EC" w:rsidRPr="0085711D" w:rsidRDefault="00FB14EC" w:rsidP="0085711D">
      <w:pPr>
        <w:pStyle w:val="ListParagraph"/>
        <w:spacing w:before="29" w:after="0"/>
        <w:ind w:left="2160" w:hanging="720"/>
        <w:jc w:val="both"/>
        <w:rPr>
          <w:rFonts w:ascii="Times New Roman" w:hAnsi="Times New Roman"/>
          <w:sz w:val="24"/>
          <w:szCs w:val="24"/>
        </w:rPr>
      </w:pPr>
    </w:p>
    <w:p w14:paraId="62863140" w14:textId="77777777" w:rsidR="00FB14EC" w:rsidRPr="0085711D" w:rsidRDefault="00FB14EC" w:rsidP="0085711D">
      <w:pPr>
        <w:numPr>
          <w:ilvl w:val="0"/>
          <w:numId w:val="3"/>
        </w:numPr>
        <w:tabs>
          <w:tab w:val="left" w:pos="720"/>
          <w:tab w:val="left" w:pos="1440"/>
          <w:tab w:val="left" w:pos="2160"/>
          <w:tab w:val="left" w:pos="2880"/>
          <w:tab w:val="left" w:pos="3600"/>
          <w:tab w:val="left" w:pos="4320"/>
          <w:tab w:val="left" w:pos="5040"/>
          <w:tab w:val="left" w:pos="9648"/>
        </w:tabs>
        <w:spacing w:before="29" w:line="276" w:lineRule="auto"/>
        <w:ind w:hanging="720"/>
        <w:jc w:val="both"/>
        <w:rPr>
          <w:rFonts w:ascii="Times New Roman" w:hAnsi="Times New Roman"/>
          <w:sz w:val="24"/>
          <w:szCs w:val="24"/>
        </w:rPr>
      </w:pPr>
      <w:r w:rsidRPr="0085711D">
        <w:rPr>
          <w:rFonts w:ascii="Times New Roman" w:hAnsi="Times New Roman"/>
          <w:sz w:val="24"/>
          <w:szCs w:val="24"/>
        </w:rPr>
        <w:t>If the response expresses the debtor’s intent to amend the plan other than by a payment increase, the amended plan is to be filed along with the response and served on all parties in interest. Upon the filing of the amended plan, the Court shall cancel the hearing previously set for consideration of the Chapter 13 trustee’s request for dismissal, and a conciliation conference and plan confirmation hearing will be scheduled. If the debtor fails to make any plan payment prior to the conciliation conference and plan confirmation hearing, on Supplemental Certificate of Default filed and served by the Chapter 13 trustee, the case will be dismissed and the hearing canceled.</w:t>
      </w:r>
    </w:p>
    <w:p w14:paraId="511C485A" w14:textId="77777777" w:rsidR="00FB14EC" w:rsidRPr="0085711D" w:rsidRDefault="00FB14EC" w:rsidP="008571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2160" w:hanging="720"/>
        <w:jc w:val="both"/>
        <w:rPr>
          <w:rFonts w:ascii="Times New Roman" w:hAnsi="Times New Roman"/>
          <w:sz w:val="24"/>
          <w:szCs w:val="24"/>
        </w:rPr>
      </w:pPr>
    </w:p>
    <w:p w14:paraId="4BE52877" w14:textId="77777777" w:rsidR="00F65E63" w:rsidRPr="0085711D" w:rsidRDefault="00F65E63" w:rsidP="0085711D">
      <w:pPr>
        <w:spacing w:before="29" w:line="276" w:lineRule="auto"/>
        <w:ind w:left="2160" w:hanging="720"/>
        <w:jc w:val="both"/>
        <w:rPr>
          <w:rFonts w:ascii="Times New Roman" w:hAnsi="Times New Roman"/>
          <w:sz w:val="24"/>
          <w:szCs w:val="24"/>
        </w:rPr>
      </w:pPr>
    </w:p>
    <w:sectPr w:rsidR="00F65E63" w:rsidRPr="008571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746F2"/>
    <w:multiLevelType w:val="hybridMultilevel"/>
    <w:tmpl w:val="F8F2DF72"/>
    <w:lvl w:ilvl="0" w:tplc="1DA493B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51AA2E42"/>
    <w:multiLevelType w:val="hybridMultilevel"/>
    <w:tmpl w:val="8D60428E"/>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792ED3"/>
    <w:multiLevelType w:val="hybridMultilevel"/>
    <w:tmpl w:val="249A7AB4"/>
    <w:lvl w:ilvl="0" w:tplc="1DA49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4EC"/>
    <w:rsid w:val="0085711D"/>
    <w:rsid w:val="00F65E63"/>
    <w:rsid w:val="00FB1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71160"/>
  <w15:chartTrackingRefBased/>
  <w15:docId w15:val="{140756CC-7D07-447D-827A-D778CD8E2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4EC"/>
    <w:pPr>
      <w:autoSpaceDE w:val="0"/>
      <w:autoSpaceDN w:val="0"/>
      <w:adjustRightInd w:val="0"/>
      <w:jc w:val="left"/>
    </w:pPr>
    <w:rPr>
      <w:rFonts w:ascii="Courier 10cpi" w:eastAsia="Calibri" w:hAnsi="Courier 10cp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4EC"/>
    <w:pPr>
      <w:widowControl w:val="0"/>
      <w:autoSpaceDE/>
      <w:autoSpaceDN/>
      <w:adjustRightInd/>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8C77A330-BD14-4ECE-AF74-367D320F17E8}"/>
</file>

<file path=customXml/itemProps2.xml><?xml version="1.0" encoding="utf-8"?>
<ds:datastoreItem xmlns:ds="http://schemas.openxmlformats.org/officeDocument/2006/customXml" ds:itemID="{B2CEF47B-61CB-43DB-9AAD-08B936D1305E}"/>
</file>

<file path=customXml/itemProps3.xml><?xml version="1.0" encoding="utf-8"?>
<ds:datastoreItem xmlns:ds="http://schemas.openxmlformats.org/officeDocument/2006/customXml" ds:itemID="{4D051060-9980-482F-A8F1-58984F1A0151}"/>
</file>

<file path=docProps/app.xml><?xml version="1.0" encoding="utf-8"?>
<Properties xmlns="http://schemas.openxmlformats.org/officeDocument/2006/extended-properties" xmlns:vt="http://schemas.openxmlformats.org/officeDocument/2006/docPropsVTypes">
  <Template>Normal.dotm</Template>
  <TotalTime>2</TotalTime>
  <Pages>2</Pages>
  <Words>832</Words>
  <Characters>2923</Characters>
  <Application>Microsoft Office Word</Application>
  <DocSecurity>0</DocSecurity>
  <Lines>2923</Lines>
  <Paragraphs>625</Paragraphs>
  <ScaleCrop>false</ScaleCrop>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Olon</dc:creator>
  <cp:keywords/>
  <dc:description/>
  <cp:lastModifiedBy>Anne Olon</cp:lastModifiedBy>
  <cp:revision>2</cp:revision>
  <dcterms:created xsi:type="dcterms:W3CDTF">2022-04-20T15:21:00Z</dcterms:created>
  <dcterms:modified xsi:type="dcterms:W3CDTF">2022-04-21T18:26:00Z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