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B7D" w14:textId="3A933D7E" w:rsidR="005B25B6" w:rsidRDefault="005B25B6" w:rsidP="008D3FDE">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3015-2</w:t>
      </w:r>
      <w:r>
        <w:rPr>
          <w:rFonts w:ascii="Times New Roman" w:hAnsi="Times New Roman"/>
          <w:b/>
          <w:bCs/>
          <w:sz w:val="24"/>
          <w:szCs w:val="24"/>
        </w:rPr>
        <w:tab/>
        <w:t>WAGE ORDERS IN CHAPTER 13 CASES</w:t>
      </w:r>
    </w:p>
    <w:p w14:paraId="747E46D6" w14:textId="77777777" w:rsidR="005B25B6" w:rsidRDefault="005B25B6" w:rsidP="00A5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2B706413" w14:textId="1B398B02"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 xml:space="preserve">The plan filed by a </w:t>
      </w:r>
      <w:r w:rsidR="00A82F97" w:rsidRPr="008D3FDE">
        <w:rPr>
          <w:rFonts w:ascii="Times New Roman" w:hAnsi="Times New Roman"/>
          <w:sz w:val="24"/>
          <w:szCs w:val="24"/>
        </w:rPr>
        <w:t>Chapter</w:t>
      </w:r>
      <w:r w:rsidRPr="008D3FDE">
        <w:rPr>
          <w:rFonts w:ascii="Times New Roman" w:hAnsi="Times New Roman"/>
          <w:sz w:val="24"/>
          <w:szCs w:val="24"/>
        </w:rPr>
        <w:t xml:space="preserve"> 13 debtor with attachable income shall be accompanied by a motion for a wage attachment(s) and order(s) in an amount(s) sufficient to cover plan payments</w:t>
      </w:r>
      <w:r w:rsidR="00A64788">
        <w:rPr>
          <w:rFonts w:ascii="Times New Roman" w:hAnsi="Times New Roman"/>
          <w:sz w:val="24"/>
          <w:szCs w:val="24"/>
        </w:rPr>
        <w:t xml:space="preserve">, unless payments are </w:t>
      </w:r>
      <w:proofErr w:type="gramStart"/>
      <w:r w:rsidR="00A64788">
        <w:rPr>
          <w:rFonts w:ascii="Times New Roman" w:hAnsi="Times New Roman"/>
          <w:sz w:val="24"/>
          <w:szCs w:val="24"/>
        </w:rPr>
        <w:t>to be made</w:t>
      </w:r>
      <w:proofErr w:type="gramEnd"/>
      <w:r w:rsidR="00A64788">
        <w:rPr>
          <w:rFonts w:ascii="Times New Roman" w:hAnsi="Times New Roman"/>
          <w:sz w:val="24"/>
          <w:szCs w:val="24"/>
        </w:rPr>
        <w:t xml:space="preserve"> by ACH or TFS pursuant to Paragraphs (h) and (</w:t>
      </w:r>
      <w:proofErr w:type="spellStart"/>
      <w:r w:rsidR="00A64788">
        <w:rPr>
          <w:rFonts w:ascii="Times New Roman" w:hAnsi="Times New Roman"/>
          <w:sz w:val="24"/>
          <w:szCs w:val="24"/>
        </w:rPr>
        <w:t>i</w:t>
      </w:r>
      <w:proofErr w:type="spellEnd"/>
      <w:r w:rsidR="00A64788">
        <w:rPr>
          <w:rFonts w:ascii="Times New Roman" w:hAnsi="Times New Roman"/>
          <w:sz w:val="24"/>
          <w:szCs w:val="24"/>
        </w:rPr>
        <w:t>), below</w:t>
      </w:r>
      <w:r w:rsidRPr="008D3FDE">
        <w:rPr>
          <w:rFonts w:ascii="Times New Roman" w:hAnsi="Times New Roman"/>
          <w:sz w:val="24"/>
          <w:szCs w:val="24"/>
        </w:rPr>
        <w:t xml:space="preserve">. The motion and order shall substantially comply with Local Bankruptcy Form 11 (Ex </w:t>
      </w:r>
      <w:proofErr w:type="spellStart"/>
      <w:r w:rsidRPr="008D3FDE">
        <w:rPr>
          <w:rFonts w:ascii="Times New Roman" w:hAnsi="Times New Roman"/>
          <w:sz w:val="24"/>
          <w:szCs w:val="24"/>
        </w:rPr>
        <w:t>Parte</w:t>
      </w:r>
      <w:proofErr w:type="spellEnd"/>
      <w:r w:rsidRPr="008D3FDE">
        <w:rPr>
          <w:rFonts w:ascii="Times New Roman" w:hAnsi="Times New Roman"/>
          <w:sz w:val="24"/>
          <w:szCs w:val="24"/>
        </w:rPr>
        <w:t xml:space="preserve"> Motion for Order to Pay Trustee Pursuant to Wage Attachment and Order to Pay Trustee Pursuant to Wage Attachment).</w:t>
      </w:r>
    </w:p>
    <w:p w14:paraId="11BBE8C6" w14:textId="77777777" w:rsidR="008D3FDE" w:rsidRDefault="008D3FDE" w:rsidP="008D3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0DDAC6C"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When a bankruptcy case is filed by one (1) debtor, “Doc. No. WO-1” shall be included in the caption of the motion for wage attachment and the proposed order. Any motion to amend shall include “Doc. No. WO-1” in the caption.</w:t>
      </w:r>
    </w:p>
    <w:p w14:paraId="032CA9CB" w14:textId="77777777" w:rsidR="008D3FDE" w:rsidRDefault="008D3FDE" w:rsidP="00A57DF7">
      <w:pPr>
        <w:pStyle w:val="ListParagraph"/>
        <w:spacing w:before="29" w:after="0"/>
        <w:rPr>
          <w:rFonts w:ascii="Times New Roman" w:hAnsi="Times New Roman"/>
          <w:sz w:val="24"/>
          <w:szCs w:val="24"/>
        </w:rPr>
      </w:pPr>
    </w:p>
    <w:p w14:paraId="637A7C47"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When a joint case is filed, the name of the debtor whose wages are to be attached shall be stated in the caption of the motion and in the proposed order. “Doc. No. WO-1” shall be included in the caption of the first joint debtor requesting a wage attachment. “Doc. No. WO-2” shall be included in the caption of a subsequent motion requesting a wage attachment filed by the other joint debtor.</w:t>
      </w:r>
    </w:p>
    <w:p w14:paraId="6CFE9E16" w14:textId="77777777" w:rsidR="008D3FDE" w:rsidRDefault="008D3FDE" w:rsidP="00A57DF7">
      <w:pPr>
        <w:pStyle w:val="ListParagraph"/>
        <w:spacing w:before="29" w:after="0"/>
        <w:rPr>
          <w:rFonts w:ascii="Times New Roman" w:hAnsi="Times New Roman"/>
          <w:sz w:val="24"/>
          <w:szCs w:val="24"/>
        </w:rPr>
      </w:pPr>
    </w:p>
    <w:p w14:paraId="7F03B138"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Any motion to amend a wage attachment shall</w:t>
      </w:r>
      <w:r w:rsidRPr="008D3FDE">
        <w:rPr>
          <w:rFonts w:ascii="Times New Roman" w:hAnsi="Times New Roman"/>
          <w:b/>
          <w:bCs/>
          <w:sz w:val="24"/>
          <w:szCs w:val="24"/>
        </w:rPr>
        <w:t xml:space="preserve"> </w:t>
      </w:r>
      <w:r w:rsidRPr="008D3FDE">
        <w:rPr>
          <w:rFonts w:ascii="Times New Roman" w:hAnsi="Times New Roman"/>
          <w:sz w:val="24"/>
          <w:szCs w:val="24"/>
        </w:rPr>
        <w:t>be filed at the original motion number for the first or second joint debtor (WO-1 or WO-2) and shall be marked “Amended Motion for Wage Attachment” in the caption.</w:t>
      </w:r>
    </w:p>
    <w:p w14:paraId="4BB29BAB" w14:textId="77777777" w:rsidR="008D3FDE" w:rsidRDefault="008D3FDE" w:rsidP="00A57DF7">
      <w:pPr>
        <w:pStyle w:val="ListParagraph"/>
        <w:spacing w:before="29" w:after="0"/>
        <w:rPr>
          <w:rFonts w:ascii="Times New Roman" w:hAnsi="Times New Roman"/>
          <w:sz w:val="24"/>
          <w:szCs w:val="24"/>
        </w:rPr>
      </w:pPr>
    </w:p>
    <w:p w14:paraId="1E0ABF5F"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Any motion to amend the amount of the wage deduction shall request only the exact amount to be attached.</w:t>
      </w:r>
    </w:p>
    <w:p w14:paraId="1D5C6798" w14:textId="77777777" w:rsidR="008D3FDE" w:rsidRDefault="008D3FDE" w:rsidP="00A57DF7">
      <w:pPr>
        <w:pStyle w:val="ListParagraph"/>
        <w:spacing w:before="29" w:after="0"/>
        <w:rPr>
          <w:rFonts w:ascii="Times New Roman" w:hAnsi="Times New Roman"/>
          <w:sz w:val="24"/>
          <w:szCs w:val="24"/>
        </w:rPr>
      </w:pPr>
    </w:p>
    <w:p w14:paraId="7CFF0204"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If a debtor has more than one (1) employer, separate wage attachment motions and proposed orders granting the requested relief shall</w:t>
      </w:r>
      <w:r w:rsidRPr="008D3FDE">
        <w:rPr>
          <w:rFonts w:ascii="Times New Roman" w:hAnsi="Times New Roman"/>
          <w:b/>
          <w:bCs/>
          <w:sz w:val="24"/>
          <w:szCs w:val="24"/>
        </w:rPr>
        <w:t xml:space="preserve"> </w:t>
      </w:r>
      <w:r w:rsidRPr="008D3FDE">
        <w:rPr>
          <w:rFonts w:ascii="Times New Roman" w:hAnsi="Times New Roman"/>
          <w:sz w:val="24"/>
          <w:szCs w:val="24"/>
        </w:rPr>
        <w:t>be filed for each employer from whom wages are to be attached. A motion naming more than one (1) employer as a respondent will be dismissed without prejudice for failure to comply with this Local Bankruptcy Rule.</w:t>
      </w:r>
    </w:p>
    <w:p w14:paraId="5DFD3E73" w14:textId="77777777" w:rsidR="008D3FDE" w:rsidRDefault="008D3FDE" w:rsidP="00A57DF7">
      <w:pPr>
        <w:pStyle w:val="ListParagraph"/>
        <w:spacing w:before="29" w:after="0"/>
        <w:rPr>
          <w:rFonts w:ascii="Times New Roman" w:hAnsi="Times New Roman"/>
          <w:sz w:val="24"/>
          <w:szCs w:val="24"/>
        </w:rPr>
      </w:pPr>
    </w:p>
    <w:p w14:paraId="5751AA4D"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D3FDE">
        <w:rPr>
          <w:rFonts w:ascii="Times New Roman" w:hAnsi="Times New Roman"/>
          <w:sz w:val="24"/>
          <w:szCs w:val="24"/>
        </w:rPr>
        <w:t>The debtor shall state the pay frequency when providing the statement of the payment amount, e.g., $535</w:t>
      </w:r>
      <w:r w:rsidR="009A1E40" w:rsidRPr="008D3FDE">
        <w:rPr>
          <w:rFonts w:ascii="Times New Roman" w:hAnsi="Times New Roman"/>
          <w:sz w:val="24"/>
          <w:szCs w:val="24"/>
        </w:rPr>
        <w:t>.00</w:t>
      </w:r>
      <w:r w:rsidRPr="008D3FDE">
        <w:rPr>
          <w:rFonts w:ascii="Times New Roman" w:hAnsi="Times New Roman"/>
          <w:sz w:val="24"/>
          <w:szCs w:val="24"/>
        </w:rPr>
        <w:t xml:space="preserve"> biweekly, or $267.50 weekly, in addition to providing the calculation of the monthly amount. If the payroll period is unknown, a monthly basis shall be used. If the payroll period is known, the payment amount shall be calculated as follows:</w:t>
      </w:r>
    </w:p>
    <w:p w14:paraId="72240B50" w14:textId="77777777" w:rsidR="00A57DF7" w:rsidRDefault="00A57DF7" w:rsidP="00A5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5C8E99C" w14:textId="77777777" w:rsidR="00A57DF7" w:rsidRDefault="00A57DF7" w:rsidP="00A5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C1CC81C" w14:textId="77777777" w:rsidR="00A57DF7" w:rsidRPr="008D3FDE" w:rsidRDefault="00A57DF7" w:rsidP="00A5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578B0E2" w14:textId="77777777" w:rsidR="001C28BC" w:rsidRDefault="001C28BC"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5B25B6" w:rsidRPr="001D0A68" w14:paraId="4E48EFAA" w14:textId="77777777">
        <w:trPr>
          <w:cantSplit/>
        </w:trPr>
        <w:tc>
          <w:tcPr>
            <w:tcW w:w="4680" w:type="dxa"/>
            <w:tcBorders>
              <w:top w:val="single" w:sz="6" w:space="0" w:color="000000"/>
              <w:left w:val="single" w:sz="6" w:space="0" w:color="000000"/>
              <w:bottom w:val="nil"/>
              <w:right w:val="nil"/>
            </w:tcBorders>
          </w:tcPr>
          <w:p w14:paraId="6226B1D4" w14:textId="77777777" w:rsidR="005B25B6" w:rsidRPr="001D0A68" w:rsidRDefault="005B25B6">
            <w:pPr>
              <w:tabs>
                <w:tab w:val="left" w:pos="0"/>
                <w:tab w:val="left" w:pos="720"/>
                <w:tab w:val="left" w:pos="1440"/>
                <w:tab w:val="left" w:pos="2160"/>
                <w:tab w:val="left" w:pos="2880"/>
                <w:tab w:val="left" w:pos="3600"/>
                <w:tab w:val="left" w:pos="4320"/>
              </w:tabs>
              <w:spacing w:before="100" w:after="52"/>
              <w:rPr>
                <w:sz w:val="24"/>
                <w:szCs w:val="24"/>
              </w:rPr>
            </w:pPr>
            <w:r w:rsidRPr="001D0A68">
              <w:rPr>
                <w:rFonts w:ascii="Times New Roman" w:hAnsi="Times New Roman"/>
                <w:b/>
                <w:bCs/>
                <w:sz w:val="24"/>
                <w:szCs w:val="24"/>
              </w:rPr>
              <w:lastRenderedPageBreak/>
              <w:t>Payment Frequency</w:t>
            </w:r>
          </w:p>
        </w:tc>
        <w:tc>
          <w:tcPr>
            <w:tcW w:w="4680" w:type="dxa"/>
            <w:tcBorders>
              <w:top w:val="single" w:sz="6" w:space="0" w:color="000000"/>
              <w:left w:val="single" w:sz="6" w:space="0" w:color="000000"/>
              <w:bottom w:val="nil"/>
              <w:right w:val="single" w:sz="6" w:space="0" w:color="000000"/>
            </w:tcBorders>
          </w:tcPr>
          <w:p w14:paraId="01810928" w14:textId="77777777" w:rsidR="005B25B6" w:rsidRPr="001D0A68" w:rsidRDefault="005B25B6">
            <w:pPr>
              <w:tabs>
                <w:tab w:val="left" w:pos="0"/>
                <w:tab w:val="left" w:pos="720"/>
                <w:tab w:val="left" w:pos="1440"/>
                <w:tab w:val="left" w:pos="2160"/>
                <w:tab w:val="left" w:pos="2880"/>
                <w:tab w:val="left" w:pos="3600"/>
                <w:tab w:val="left" w:pos="4320"/>
              </w:tabs>
              <w:spacing w:before="100" w:after="52"/>
              <w:rPr>
                <w:sz w:val="24"/>
                <w:szCs w:val="24"/>
              </w:rPr>
            </w:pPr>
            <w:r w:rsidRPr="001D0A68">
              <w:rPr>
                <w:rFonts w:ascii="Times New Roman" w:hAnsi="Times New Roman"/>
                <w:b/>
                <w:bCs/>
                <w:sz w:val="24"/>
                <w:szCs w:val="24"/>
              </w:rPr>
              <w:t>Calculation of Monthly Amount</w:t>
            </w:r>
          </w:p>
        </w:tc>
      </w:tr>
      <w:tr w:rsidR="005B25B6" w:rsidRPr="001D0A68" w14:paraId="550A9C71" w14:textId="77777777">
        <w:trPr>
          <w:cantSplit/>
        </w:trPr>
        <w:tc>
          <w:tcPr>
            <w:tcW w:w="4680" w:type="dxa"/>
            <w:tcBorders>
              <w:top w:val="single" w:sz="6" w:space="0" w:color="000000"/>
              <w:left w:val="single" w:sz="6" w:space="0" w:color="000000"/>
              <w:bottom w:val="nil"/>
              <w:right w:val="nil"/>
            </w:tcBorders>
          </w:tcPr>
          <w:p w14:paraId="5F1F2612" w14:textId="77777777" w:rsidR="005B25B6" w:rsidRPr="001D0A68" w:rsidRDefault="005B25B6">
            <w:pPr>
              <w:tabs>
                <w:tab w:val="left" w:pos="0"/>
                <w:tab w:val="left" w:pos="720"/>
                <w:tab w:val="left" w:pos="1440"/>
                <w:tab w:val="left" w:pos="2160"/>
                <w:tab w:val="left" w:pos="2880"/>
                <w:tab w:val="left" w:pos="3600"/>
                <w:tab w:val="left" w:pos="4320"/>
              </w:tabs>
              <w:spacing w:before="100"/>
              <w:rPr>
                <w:rFonts w:ascii="Times New Roman" w:hAnsi="Times New Roman"/>
                <w:sz w:val="24"/>
                <w:szCs w:val="24"/>
              </w:rPr>
            </w:pPr>
            <w:r w:rsidRPr="001D0A68">
              <w:rPr>
                <w:rFonts w:ascii="Times New Roman" w:hAnsi="Times New Roman"/>
                <w:sz w:val="24"/>
                <w:szCs w:val="24"/>
              </w:rPr>
              <w:t>Weekly</w:t>
            </w:r>
          </w:p>
          <w:p w14:paraId="4904799F" w14:textId="77777777" w:rsidR="005B25B6" w:rsidRPr="001D0A68" w:rsidRDefault="005B25B6">
            <w:pPr>
              <w:tabs>
                <w:tab w:val="left" w:pos="0"/>
                <w:tab w:val="left" w:pos="720"/>
                <w:tab w:val="left" w:pos="1440"/>
                <w:tab w:val="left" w:pos="2160"/>
                <w:tab w:val="left" w:pos="2880"/>
                <w:tab w:val="left" w:pos="3600"/>
                <w:tab w:val="left" w:pos="4320"/>
              </w:tabs>
              <w:spacing w:after="52"/>
              <w:rPr>
                <w:sz w:val="24"/>
                <w:szCs w:val="24"/>
              </w:rPr>
            </w:pPr>
            <w:r w:rsidRPr="001D0A68">
              <w:rPr>
                <w:rFonts w:ascii="Times New Roman" w:hAnsi="Times New Roman"/>
                <w:sz w:val="24"/>
                <w:szCs w:val="24"/>
              </w:rPr>
              <w:t>(52 pays/year)</w:t>
            </w:r>
          </w:p>
        </w:tc>
        <w:tc>
          <w:tcPr>
            <w:tcW w:w="4680" w:type="dxa"/>
            <w:tcBorders>
              <w:top w:val="single" w:sz="6" w:space="0" w:color="000000"/>
              <w:left w:val="single" w:sz="6" w:space="0" w:color="000000"/>
              <w:bottom w:val="nil"/>
              <w:right w:val="single" w:sz="6" w:space="0" w:color="000000"/>
            </w:tcBorders>
          </w:tcPr>
          <w:p w14:paraId="4BBAB6FB" w14:textId="77777777" w:rsidR="005B25B6" w:rsidRPr="001D0A68" w:rsidRDefault="005B25B6">
            <w:pPr>
              <w:tabs>
                <w:tab w:val="left" w:pos="0"/>
                <w:tab w:val="left" w:pos="720"/>
                <w:tab w:val="left" w:pos="1440"/>
                <w:tab w:val="left" w:pos="2160"/>
                <w:tab w:val="left" w:pos="2880"/>
                <w:tab w:val="left" w:pos="3600"/>
                <w:tab w:val="left" w:pos="4320"/>
              </w:tabs>
              <w:spacing w:before="100" w:after="52"/>
              <w:rPr>
                <w:sz w:val="24"/>
                <w:szCs w:val="24"/>
              </w:rPr>
            </w:pPr>
            <w:r w:rsidRPr="001D0A68">
              <w:rPr>
                <w:rFonts w:ascii="Times New Roman" w:hAnsi="Times New Roman"/>
                <w:sz w:val="24"/>
                <w:szCs w:val="24"/>
              </w:rPr>
              <w:t>amount to be attached multiplied by 12; then divided by 52 and rounded upwards</w:t>
            </w:r>
          </w:p>
        </w:tc>
      </w:tr>
      <w:tr w:rsidR="005B25B6" w:rsidRPr="001D0A68" w14:paraId="13E0AC21" w14:textId="77777777">
        <w:trPr>
          <w:cantSplit/>
        </w:trPr>
        <w:tc>
          <w:tcPr>
            <w:tcW w:w="4680" w:type="dxa"/>
            <w:tcBorders>
              <w:top w:val="single" w:sz="6" w:space="0" w:color="000000"/>
              <w:left w:val="single" w:sz="6" w:space="0" w:color="000000"/>
              <w:bottom w:val="nil"/>
              <w:right w:val="nil"/>
            </w:tcBorders>
          </w:tcPr>
          <w:p w14:paraId="13206C0D" w14:textId="77777777" w:rsidR="005B25B6" w:rsidRPr="001D0A68" w:rsidRDefault="005B25B6">
            <w:pPr>
              <w:tabs>
                <w:tab w:val="left" w:pos="0"/>
                <w:tab w:val="left" w:pos="720"/>
                <w:tab w:val="left" w:pos="1440"/>
                <w:tab w:val="left" w:pos="2160"/>
                <w:tab w:val="left" w:pos="2880"/>
                <w:tab w:val="left" w:pos="3600"/>
                <w:tab w:val="left" w:pos="4320"/>
              </w:tabs>
              <w:spacing w:before="100"/>
              <w:rPr>
                <w:rFonts w:ascii="Times New Roman" w:hAnsi="Times New Roman"/>
                <w:sz w:val="24"/>
                <w:szCs w:val="24"/>
              </w:rPr>
            </w:pPr>
            <w:r w:rsidRPr="001D0A68">
              <w:rPr>
                <w:rFonts w:ascii="Times New Roman" w:hAnsi="Times New Roman"/>
                <w:sz w:val="24"/>
                <w:szCs w:val="24"/>
              </w:rPr>
              <w:t xml:space="preserve">Biweekly </w:t>
            </w:r>
          </w:p>
          <w:p w14:paraId="5DDDEFC2" w14:textId="77777777" w:rsidR="005B25B6" w:rsidRPr="001D0A68" w:rsidRDefault="005B25B6">
            <w:pPr>
              <w:tabs>
                <w:tab w:val="left" w:pos="0"/>
                <w:tab w:val="left" w:pos="720"/>
                <w:tab w:val="left" w:pos="1440"/>
                <w:tab w:val="left" w:pos="2160"/>
                <w:tab w:val="left" w:pos="2880"/>
                <w:tab w:val="left" w:pos="3600"/>
                <w:tab w:val="left" w:pos="4320"/>
              </w:tabs>
              <w:spacing w:after="52"/>
              <w:rPr>
                <w:sz w:val="24"/>
                <w:szCs w:val="24"/>
              </w:rPr>
            </w:pPr>
            <w:r w:rsidRPr="001D0A68">
              <w:rPr>
                <w:rFonts w:ascii="Times New Roman" w:hAnsi="Times New Roman"/>
                <w:sz w:val="24"/>
                <w:szCs w:val="24"/>
              </w:rPr>
              <w:t>(every 2 weeks = 26 pays/year)</w:t>
            </w:r>
          </w:p>
        </w:tc>
        <w:tc>
          <w:tcPr>
            <w:tcW w:w="4680" w:type="dxa"/>
            <w:tcBorders>
              <w:top w:val="single" w:sz="6" w:space="0" w:color="000000"/>
              <w:left w:val="single" w:sz="6" w:space="0" w:color="000000"/>
              <w:bottom w:val="nil"/>
              <w:right w:val="single" w:sz="6" w:space="0" w:color="000000"/>
            </w:tcBorders>
          </w:tcPr>
          <w:p w14:paraId="2643D8CB" w14:textId="77777777" w:rsidR="005B25B6" w:rsidRPr="001D0A68" w:rsidRDefault="005B25B6">
            <w:pPr>
              <w:tabs>
                <w:tab w:val="left" w:pos="0"/>
                <w:tab w:val="left" w:pos="720"/>
                <w:tab w:val="left" w:pos="1440"/>
                <w:tab w:val="left" w:pos="2160"/>
                <w:tab w:val="left" w:pos="2880"/>
                <w:tab w:val="left" w:pos="3600"/>
                <w:tab w:val="left" w:pos="4320"/>
              </w:tabs>
              <w:spacing w:before="100" w:after="52"/>
              <w:rPr>
                <w:sz w:val="24"/>
                <w:szCs w:val="24"/>
              </w:rPr>
            </w:pPr>
            <w:r w:rsidRPr="001D0A68">
              <w:rPr>
                <w:rFonts w:ascii="Times New Roman" w:hAnsi="Times New Roman"/>
                <w:sz w:val="24"/>
                <w:szCs w:val="24"/>
              </w:rPr>
              <w:t>amount to be attached multiplied by 12; then divided by 26 and rounded upwards</w:t>
            </w:r>
          </w:p>
        </w:tc>
      </w:tr>
      <w:tr w:rsidR="005B25B6" w:rsidRPr="001D0A68" w14:paraId="4C726B2F" w14:textId="77777777">
        <w:trPr>
          <w:cantSplit/>
        </w:trPr>
        <w:tc>
          <w:tcPr>
            <w:tcW w:w="4680" w:type="dxa"/>
            <w:tcBorders>
              <w:top w:val="single" w:sz="6" w:space="0" w:color="000000"/>
              <w:left w:val="single" w:sz="6" w:space="0" w:color="000000"/>
              <w:bottom w:val="single" w:sz="6" w:space="0" w:color="000000"/>
              <w:right w:val="nil"/>
            </w:tcBorders>
          </w:tcPr>
          <w:p w14:paraId="2D38334C" w14:textId="77777777" w:rsidR="005B25B6" w:rsidRPr="001D0A68" w:rsidRDefault="005B25B6">
            <w:pPr>
              <w:tabs>
                <w:tab w:val="left" w:pos="0"/>
                <w:tab w:val="left" w:pos="720"/>
                <w:tab w:val="left" w:pos="1440"/>
                <w:tab w:val="left" w:pos="2160"/>
                <w:tab w:val="left" w:pos="2880"/>
                <w:tab w:val="left" w:pos="3600"/>
                <w:tab w:val="left" w:pos="4320"/>
              </w:tabs>
              <w:spacing w:before="100"/>
              <w:rPr>
                <w:rFonts w:ascii="Times New Roman" w:hAnsi="Times New Roman"/>
                <w:sz w:val="24"/>
                <w:szCs w:val="24"/>
              </w:rPr>
            </w:pPr>
            <w:r w:rsidRPr="001D0A68">
              <w:rPr>
                <w:rFonts w:ascii="Times New Roman" w:hAnsi="Times New Roman"/>
                <w:sz w:val="24"/>
                <w:szCs w:val="24"/>
              </w:rPr>
              <w:t>Semimonthly</w:t>
            </w:r>
          </w:p>
          <w:p w14:paraId="6014C51F" w14:textId="77777777" w:rsidR="005B25B6" w:rsidRPr="001D0A68" w:rsidRDefault="005B25B6">
            <w:pPr>
              <w:tabs>
                <w:tab w:val="left" w:pos="0"/>
                <w:tab w:val="left" w:pos="720"/>
                <w:tab w:val="left" w:pos="1440"/>
                <w:tab w:val="left" w:pos="2160"/>
                <w:tab w:val="left" w:pos="2880"/>
                <w:tab w:val="left" w:pos="3600"/>
                <w:tab w:val="left" w:pos="4320"/>
              </w:tabs>
              <w:spacing w:after="52"/>
              <w:rPr>
                <w:sz w:val="24"/>
                <w:szCs w:val="24"/>
              </w:rPr>
            </w:pPr>
            <w:r w:rsidRPr="001D0A68">
              <w:rPr>
                <w:rFonts w:ascii="Times New Roman" w:hAnsi="Times New Roman"/>
                <w:sz w:val="24"/>
                <w:szCs w:val="24"/>
              </w:rPr>
              <w:t>(twice each month = 24 pays/year)</w:t>
            </w:r>
          </w:p>
        </w:tc>
        <w:tc>
          <w:tcPr>
            <w:tcW w:w="4680" w:type="dxa"/>
            <w:tcBorders>
              <w:top w:val="single" w:sz="6" w:space="0" w:color="000000"/>
              <w:left w:val="single" w:sz="6" w:space="0" w:color="000000"/>
              <w:bottom w:val="single" w:sz="6" w:space="0" w:color="000000"/>
              <w:right w:val="single" w:sz="6" w:space="0" w:color="000000"/>
            </w:tcBorders>
          </w:tcPr>
          <w:p w14:paraId="17DB204A" w14:textId="77777777" w:rsidR="005B25B6" w:rsidRPr="001D0A68" w:rsidRDefault="005B25B6">
            <w:pPr>
              <w:tabs>
                <w:tab w:val="left" w:pos="0"/>
                <w:tab w:val="left" w:pos="720"/>
                <w:tab w:val="left" w:pos="1440"/>
                <w:tab w:val="left" w:pos="2160"/>
                <w:tab w:val="left" w:pos="2880"/>
                <w:tab w:val="left" w:pos="3600"/>
                <w:tab w:val="left" w:pos="4320"/>
              </w:tabs>
              <w:spacing w:before="100" w:after="52"/>
              <w:rPr>
                <w:sz w:val="24"/>
                <w:szCs w:val="24"/>
              </w:rPr>
            </w:pPr>
            <w:r w:rsidRPr="001D0A68">
              <w:rPr>
                <w:rFonts w:ascii="Times New Roman" w:hAnsi="Times New Roman"/>
                <w:sz w:val="24"/>
                <w:szCs w:val="24"/>
              </w:rPr>
              <w:t>amount to be attached divided by 2; then rounded upwards</w:t>
            </w:r>
          </w:p>
        </w:tc>
      </w:tr>
    </w:tbl>
    <w:p w14:paraId="5C86BBAB" w14:textId="77777777" w:rsidR="005B25B6" w:rsidRDefault="005B25B6" w:rsidP="00A57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7DA87E8" w14:textId="2F1E6EC4" w:rsidR="005B25B6" w:rsidRDefault="005B25B6" w:rsidP="008D3FDE">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Automated Clearing House (ACH) payments are made by entering into a contract with the </w:t>
      </w:r>
      <w:r w:rsidR="00A82F97">
        <w:rPr>
          <w:rFonts w:ascii="Times New Roman" w:hAnsi="Times New Roman"/>
          <w:sz w:val="24"/>
          <w:szCs w:val="24"/>
        </w:rPr>
        <w:t>Chapter</w:t>
      </w:r>
      <w:r>
        <w:rPr>
          <w:rFonts w:ascii="Times New Roman" w:hAnsi="Times New Roman"/>
          <w:sz w:val="24"/>
          <w:szCs w:val="24"/>
        </w:rPr>
        <w:t xml:space="preserve"> 13 trustee </w:t>
      </w:r>
      <w:r w:rsidR="00E66655">
        <w:rPr>
          <w:rFonts w:ascii="Times New Roman" w:hAnsi="Times New Roman"/>
          <w:sz w:val="24"/>
          <w:szCs w:val="24"/>
        </w:rPr>
        <w:t xml:space="preserve">(see </w:t>
      </w:r>
      <w:hyperlink r:id="rId12" w:history="1">
        <w:r w:rsidR="00E66655" w:rsidRPr="00F62380">
          <w:rPr>
            <w:rStyle w:val="Hyperlink"/>
            <w:rFonts w:ascii="Times New Roman" w:hAnsi="Times New Roman"/>
            <w:sz w:val="24"/>
            <w:szCs w:val="24"/>
          </w:rPr>
          <w:t>https://ch13pitt.com/forms/</w:t>
        </w:r>
      </w:hyperlink>
      <w:r w:rsidR="00E66655">
        <w:rPr>
          <w:rFonts w:ascii="Times New Roman" w:hAnsi="Times New Roman"/>
          <w:sz w:val="24"/>
          <w:szCs w:val="24"/>
        </w:rPr>
        <w:t xml:space="preserve">) </w:t>
      </w:r>
      <w:r>
        <w:rPr>
          <w:rFonts w:ascii="Times New Roman" w:hAnsi="Times New Roman"/>
          <w:sz w:val="24"/>
          <w:szCs w:val="24"/>
        </w:rPr>
        <w:t>and not by motion and order. Therefore, no motion shall be filed to commence or terminate ACH payments.</w:t>
      </w:r>
    </w:p>
    <w:p w14:paraId="559CA1A0" w14:textId="77777777" w:rsidR="001831BA" w:rsidRDefault="001831BA" w:rsidP="00183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B6F66A9" w14:textId="729AA427" w:rsidR="00E66655" w:rsidRDefault="00E66655"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TFS Bill Pay (TFS) payments are made by opting into TFS at </w:t>
      </w:r>
      <w:hyperlink r:id="rId13" w:history="1">
        <w:r w:rsidRPr="00F62380">
          <w:rPr>
            <w:rStyle w:val="Hyperlink"/>
            <w:rFonts w:ascii="Times New Roman" w:hAnsi="Times New Roman"/>
            <w:sz w:val="24"/>
            <w:szCs w:val="24"/>
          </w:rPr>
          <w:t>https://www.tfsbillpay.com/signup</w:t>
        </w:r>
      </w:hyperlink>
      <w:r>
        <w:rPr>
          <w:rFonts w:ascii="Times New Roman" w:hAnsi="Times New Roman"/>
          <w:sz w:val="24"/>
          <w:szCs w:val="24"/>
        </w:rPr>
        <w:t xml:space="preserve">. If the </w:t>
      </w:r>
      <w:r w:rsidR="00EF0BFF">
        <w:rPr>
          <w:rFonts w:ascii="Times New Roman" w:hAnsi="Times New Roman"/>
          <w:sz w:val="24"/>
          <w:szCs w:val="24"/>
        </w:rPr>
        <w:t>d</w:t>
      </w:r>
      <w:r>
        <w:rPr>
          <w:rFonts w:ascii="Times New Roman" w:hAnsi="Times New Roman"/>
          <w:sz w:val="24"/>
          <w:szCs w:val="24"/>
        </w:rPr>
        <w:t xml:space="preserve">ebtor elects to make payments using TFS, upon completion of the TFS registration, the </w:t>
      </w:r>
      <w:r w:rsidR="00F62380">
        <w:rPr>
          <w:rFonts w:ascii="Times New Roman" w:hAnsi="Times New Roman"/>
          <w:sz w:val="24"/>
          <w:szCs w:val="24"/>
        </w:rPr>
        <w:t>d</w:t>
      </w:r>
      <w:r>
        <w:rPr>
          <w:rFonts w:ascii="Times New Roman" w:hAnsi="Times New Roman"/>
          <w:sz w:val="24"/>
          <w:szCs w:val="24"/>
        </w:rPr>
        <w:t xml:space="preserve">ebtor shall file a “Notice of Plan Payment via TFS” which shall certify that the </w:t>
      </w:r>
      <w:r w:rsidR="00F62380">
        <w:rPr>
          <w:rFonts w:ascii="Times New Roman" w:hAnsi="Times New Roman"/>
          <w:sz w:val="24"/>
          <w:szCs w:val="24"/>
        </w:rPr>
        <w:t>d</w:t>
      </w:r>
      <w:r>
        <w:rPr>
          <w:rFonts w:ascii="Times New Roman" w:hAnsi="Times New Roman"/>
          <w:sz w:val="24"/>
          <w:szCs w:val="24"/>
        </w:rPr>
        <w:t xml:space="preserve">ebtor has taken all necessary steps to initiate the plan payments to the </w:t>
      </w:r>
      <w:r w:rsidR="00F62380">
        <w:rPr>
          <w:rFonts w:ascii="Times New Roman" w:hAnsi="Times New Roman"/>
          <w:sz w:val="24"/>
          <w:szCs w:val="24"/>
        </w:rPr>
        <w:t xml:space="preserve">trustee through TFS. </w:t>
      </w:r>
    </w:p>
    <w:p w14:paraId="4FF3E50C" w14:textId="77777777" w:rsidR="00F62380" w:rsidRDefault="00F62380" w:rsidP="00F62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4F168DD" w14:textId="4EF60D3B" w:rsidR="005B25B6" w:rsidRPr="001831BA"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831BA">
        <w:rPr>
          <w:rFonts w:ascii="Times New Roman" w:hAnsi="Times New Roman"/>
          <w:sz w:val="24"/>
          <w:szCs w:val="24"/>
        </w:rPr>
        <w:t xml:space="preserve">The debtor shall serve a copy of the signed order granting the wage attachment </w:t>
      </w:r>
      <w:proofErr w:type="gramStart"/>
      <w:r w:rsidRPr="001831BA">
        <w:rPr>
          <w:rFonts w:ascii="Times New Roman" w:hAnsi="Times New Roman"/>
          <w:sz w:val="24"/>
          <w:szCs w:val="24"/>
        </w:rPr>
        <w:t>on</w:t>
      </w:r>
      <w:proofErr w:type="gramEnd"/>
      <w:r w:rsidRPr="001831BA">
        <w:rPr>
          <w:rFonts w:ascii="Times New Roman" w:hAnsi="Times New Roman"/>
          <w:sz w:val="24"/>
          <w:szCs w:val="24"/>
        </w:rPr>
        <w:t xml:space="preserve"> the entity or entities required to remit payment to the</w:t>
      </w:r>
      <w:r w:rsidR="00764B27">
        <w:rPr>
          <w:rFonts w:ascii="Times New Roman" w:hAnsi="Times New Roman"/>
          <w:sz w:val="24"/>
          <w:szCs w:val="24"/>
        </w:rPr>
        <w:t xml:space="preserve"> Chapter 13 </w:t>
      </w:r>
      <w:r w:rsidRPr="001831BA">
        <w:rPr>
          <w:rFonts w:ascii="Times New Roman" w:hAnsi="Times New Roman"/>
          <w:sz w:val="24"/>
          <w:szCs w:val="24"/>
        </w:rPr>
        <w:t xml:space="preserve">trustee. The order shall be accompanied by a notification of debtor’s complete, nine-digit Social Security number substantially conforming to Local Bankruptcy Form 12 (Notification of Debtor’s Social Security Number). Debtor shall file a certificate of service regarding service of the order and notification, but the Social Security number shall not be included </w:t>
      </w:r>
      <w:proofErr w:type="gramStart"/>
      <w:r w:rsidRPr="001831BA">
        <w:rPr>
          <w:rFonts w:ascii="Times New Roman" w:hAnsi="Times New Roman"/>
          <w:sz w:val="24"/>
          <w:szCs w:val="24"/>
        </w:rPr>
        <w:t>on</w:t>
      </w:r>
      <w:proofErr w:type="gramEnd"/>
      <w:r w:rsidRPr="001831BA">
        <w:rPr>
          <w:rFonts w:ascii="Times New Roman" w:hAnsi="Times New Roman"/>
          <w:sz w:val="24"/>
          <w:szCs w:val="24"/>
        </w:rPr>
        <w:t xml:space="preserve"> the certificate.</w:t>
      </w:r>
    </w:p>
    <w:p w14:paraId="6C50DC25"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51A6D00" w14:textId="77777777" w:rsidR="005B25B6" w:rsidRPr="004A2884"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4A2884" w:rsidSect="008D3FDE">
      <w:headerReference w:type="default" r:id="rId14"/>
      <w:footerReference w:type="default" r:id="rId15"/>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896B" w14:textId="77777777" w:rsidR="00485DBD" w:rsidRDefault="00485DBD" w:rsidP="00214590">
      <w:r>
        <w:separator/>
      </w:r>
    </w:p>
  </w:endnote>
  <w:endnote w:type="continuationSeparator" w:id="0">
    <w:p w14:paraId="396FE8F5" w14:textId="77777777" w:rsidR="00485DBD" w:rsidRDefault="00485DB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DF75"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7C51" w14:textId="77777777" w:rsidR="00485DBD" w:rsidRDefault="00485DBD" w:rsidP="00214590">
      <w:r>
        <w:separator/>
      </w:r>
    </w:p>
  </w:footnote>
  <w:footnote w:type="continuationSeparator" w:id="0">
    <w:p w14:paraId="4D949D6B" w14:textId="77777777" w:rsidR="00485DBD" w:rsidRDefault="00485DBD"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E961" w14:textId="77777777" w:rsidR="00931C59" w:rsidRDefault="00931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AEF"/>
    <w:multiLevelType w:val="hybridMultilevel"/>
    <w:tmpl w:val="A70C0AE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138606">
    <w:abstractNumId w:val="26"/>
  </w:num>
  <w:num w:numId="2" w16cid:durableId="154730642">
    <w:abstractNumId w:val="17"/>
  </w:num>
  <w:num w:numId="3" w16cid:durableId="374622586">
    <w:abstractNumId w:val="2"/>
  </w:num>
  <w:num w:numId="4" w16cid:durableId="529613530">
    <w:abstractNumId w:val="1"/>
  </w:num>
  <w:num w:numId="5" w16cid:durableId="1410956333">
    <w:abstractNumId w:val="10"/>
  </w:num>
  <w:num w:numId="6" w16cid:durableId="18774697">
    <w:abstractNumId w:val="4"/>
  </w:num>
  <w:num w:numId="7" w16cid:durableId="717124870">
    <w:abstractNumId w:val="19"/>
  </w:num>
  <w:num w:numId="8" w16cid:durableId="891234712">
    <w:abstractNumId w:val="0"/>
  </w:num>
  <w:num w:numId="9" w16cid:durableId="1688946536">
    <w:abstractNumId w:val="16"/>
  </w:num>
  <w:num w:numId="10" w16cid:durableId="636951642">
    <w:abstractNumId w:val="8"/>
  </w:num>
  <w:num w:numId="11" w16cid:durableId="1584100231">
    <w:abstractNumId w:val="5"/>
  </w:num>
  <w:num w:numId="12" w16cid:durableId="827670199">
    <w:abstractNumId w:val="25"/>
  </w:num>
  <w:num w:numId="13" w16cid:durableId="1348170107">
    <w:abstractNumId w:val="9"/>
  </w:num>
  <w:num w:numId="14" w16cid:durableId="42290851">
    <w:abstractNumId w:val="7"/>
  </w:num>
  <w:num w:numId="15" w16cid:durableId="1650012941">
    <w:abstractNumId w:val="3"/>
  </w:num>
  <w:num w:numId="16" w16cid:durableId="945236708">
    <w:abstractNumId w:val="29"/>
  </w:num>
  <w:num w:numId="17" w16cid:durableId="1339431355">
    <w:abstractNumId w:val="11"/>
  </w:num>
  <w:num w:numId="18" w16cid:durableId="1866596641">
    <w:abstractNumId w:val="24"/>
  </w:num>
  <w:num w:numId="19" w16cid:durableId="413933918">
    <w:abstractNumId w:val="18"/>
  </w:num>
  <w:num w:numId="20" w16cid:durableId="184292573">
    <w:abstractNumId w:val="28"/>
  </w:num>
  <w:num w:numId="21" w16cid:durableId="1233470361">
    <w:abstractNumId w:val="23"/>
  </w:num>
  <w:num w:numId="22" w16cid:durableId="1465733845">
    <w:abstractNumId w:val="12"/>
  </w:num>
  <w:num w:numId="23" w16cid:durableId="1655185076">
    <w:abstractNumId w:val="22"/>
  </w:num>
  <w:num w:numId="24" w16cid:durableId="275404832">
    <w:abstractNumId w:val="14"/>
  </w:num>
  <w:num w:numId="25" w16cid:durableId="2087456531">
    <w:abstractNumId w:val="15"/>
  </w:num>
  <w:num w:numId="26" w16cid:durableId="729966480">
    <w:abstractNumId w:val="27"/>
  </w:num>
  <w:num w:numId="27" w16cid:durableId="673580525">
    <w:abstractNumId w:val="20"/>
  </w:num>
  <w:num w:numId="28" w16cid:durableId="1596942643">
    <w:abstractNumId w:val="13"/>
  </w:num>
  <w:num w:numId="29" w16cid:durableId="1451825313">
    <w:abstractNumId w:val="21"/>
  </w:num>
  <w:num w:numId="30" w16cid:durableId="523984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6CA5"/>
    <w:rsid w:val="00041664"/>
    <w:rsid w:val="000645D9"/>
    <w:rsid w:val="0007188E"/>
    <w:rsid w:val="00072B8D"/>
    <w:rsid w:val="00083F6A"/>
    <w:rsid w:val="000975CF"/>
    <w:rsid w:val="000A2191"/>
    <w:rsid w:val="000A3C1C"/>
    <w:rsid w:val="000B5BE5"/>
    <w:rsid w:val="000C63F2"/>
    <w:rsid w:val="000C6D62"/>
    <w:rsid w:val="000D3A37"/>
    <w:rsid w:val="000D69EC"/>
    <w:rsid w:val="000E40A8"/>
    <w:rsid w:val="000E4428"/>
    <w:rsid w:val="000F16DD"/>
    <w:rsid w:val="00102887"/>
    <w:rsid w:val="001222E0"/>
    <w:rsid w:val="00130F2B"/>
    <w:rsid w:val="001477A9"/>
    <w:rsid w:val="001507EA"/>
    <w:rsid w:val="00155051"/>
    <w:rsid w:val="00161E50"/>
    <w:rsid w:val="001831BA"/>
    <w:rsid w:val="0018539D"/>
    <w:rsid w:val="00197DFA"/>
    <w:rsid w:val="001B2578"/>
    <w:rsid w:val="001C28BC"/>
    <w:rsid w:val="001C7FCF"/>
    <w:rsid w:val="001D0A68"/>
    <w:rsid w:val="001D4FD5"/>
    <w:rsid w:val="001D7417"/>
    <w:rsid w:val="001E296F"/>
    <w:rsid w:val="001F193A"/>
    <w:rsid w:val="001F3008"/>
    <w:rsid w:val="001F4299"/>
    <w:rsid w:val="001F7B8C"/>
    <w:rsid w:val="002037BE"/>
    <w:rsid w:val="0020488B"/>
    <w:rsid w:val="00214590"/>
    <w:rsid w:val="00215DC5"/>
    <w:rsid w:val="002205A8"/>
    <w:rsid w:val="00224028"/>
    <w:rsid w:val="00227119"/>
    <w:rsid w:val="00232F55"/>
    <w:rsid w:val="00233158"/>
    <w:rsid w:val="00234E41"/>
    <w:rsid w:val="00237D73"/>
    <w:rsid w:val="002444C4"/>
    <w:rsid w:val="00250262"/>
    <w:rsid w:val="002554ED"/>
    <w:rsid w:val="002626A1"/>
    <w:rsid w:val="00270176"/>
    <w:rsid w:val="00277712"/>
    <w:rsid w:val="00286D10"/>
    <w:rsid w:val="00286E07"/>
    <w:rsid w:val="00294E81"/>
    <w:rsid w:val="002964C6"/>
    <w:rsid w:val="002C0886"/>
    <w:rsid w:val="002C1A83"/>
    <w:rsid w:val="002D0C59"/>
    <w:rsid w:val="002D4BE3"/>
    <w:rsid w:val="002E0A14"/>
    <w:rsid w:val="002F250C"/>
    <w:rsid w:val="00316DBF"/>
    <w:rsid w:val="00323BA9"/>
    <w:rsid w:val="003252C7"/>
    <w:rsid w:val="003259A7"/>
    <w:rsid w:val="00327155"/>
    <w:rsid w:val="00333C94"/>
    <w:rsid w:val="003359FA"/>
    <w:rsid w:val="003437E7"/>
    <w:rsid w:val="00350117"/>
    <w:rsid w:val="00351F84"/>
    <w:rsid w:val="00355E5F"/>
    <w:rsid w:val="003710C3"/>
    <w:rsid w:val="0039340C"/>
    <w:rsid w:val="003A6A32"/>
    <w:rsid w:val="003B0B77"/>
    <w:rsid w:val="003B1450"/>
    <w:rsid w:val="003C39CC"/>
    <w:rsid w:val="003C745E"/>
    <w:rsid w:val="003D1A87"/>
    <w:rsid w:val="003D1C47"/>
    <w:rsid w:val="003E1257"/>
    <w:rsid w:val="003E2BC7"/>
    <w:rsid w:val="003E3B1A"/>
    <w:rsid w:val="00403AA4"/>
    <w:rsid w:val="00403C7A"/>
    <w:rsid w:val="004049BD"/>
    <w:rsid w:val="00415ED8"/>
    <w:rsid w:val="004242F0"/>
    <w:rsid w:val="00447179"/>
    <w:rsid w:val="00456922"/>
    <w:rsid w:val="00456C23"/>
    <w:rsid w:val="00460702"/>
    <w:rsid w:val="004651BC"/>
    <w:rsid w:val="00465A17"/>
    <w:rsid w:val="00467269"/>
    <w:rsid w:val="00485DBD"/>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29FF"/>
    <w:rsid w:val="005920FF"/>
    <w:rsid w:val="005A0ADE"/>
    <w:rsid w:val="005A35AA"/>
    <w:rsid w:val="005B25B6"/>
    <w:rsid w:val="005B2AA1"/>
    <w:rsid w:val="005D41CA"/>
    <w:rsid w:val="005E0C0E"/>
    <w:rsid w:val="005E6D4E"/>
    <w:rsid w:val="005F1EE2"/>
    <w:rsid w:val="00610564"/>
    <w:rsid w:val="00617944"/>
    <w:rsid w:val="00622D27"/>
    <w:rsid w:val="006302A8"/>
    <w:rsid w:val="0063413C"/>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6F3900"/>
    <w:rsid w:val="00714C67"/>
    <w:rsid w:val="00715573"/>
    <w:rsid w:val="007360A5"/>
    <w:rsid w:val="00741D31"/>
    <w:rsid w:val="0076423E"/>
    <w:rsid w:val="00764B27"/>
    <w:rsid w:val="0076691A"/>
    <w:rsid w:val="0076747D"/>
    <w:rsid w:val="00770C16"/>
    <w:rsid w:val="0079340E"/>
    <w:rsid w:val="00794BBF"/>
    <w:rsid w:val="007A4175"/>
    <w:rsid w:val="007C732D"/>
    <w:rsid w:val="007E70C8"/>
    <w:rsid w:val="007F3E56"/>
    <w:rsid w:val="00801C7A"/>
    <w:rsid w:val="00806E4C"/>
    <w:rsid w:val="00807E40"/>
    <w:rsid w:val="0082088B"/>
    <w:rsid w:val="00831843"/>
    <w:rsid w:val="008342A3"/>
    <w:rsid w:val="00845333"/>
    <w:rsid w:val="008514F5"/>
    <w:rsid w:val="0086110A"/>
    <w:rsid w:val="00862072"/>
    <w:rsid w:val="00886049"/>
    <w:rsid w:val="00890DB1"/>
    <w:rsid w:val="008A6129"/>
    <w:rsid w:val="008C75BB"/>
    <w:rsid w:val="008D2E19"/>
    <w:rsid w:val="008D3FDE"/>
    <w:rsid w:val="008E6FD8"/>
    <w:rsid w:val="008F17AD"/>
    <w:rsid w:val="008F4C5C"/>
    <w:rsid w:val="009020CA"/>
    <w:rsid w:val="00902AB0"/>
    <w:rsid w:val="009115EA"/>
    <w:rsid w:val="00922B23"/>
    <w:rsid w:val="009237CB"/>
    <w:rsid w:val="00924C85"/>
    <w:rsid w:val="00931C59"/>
    <w:rsid w:val="00943B39"/>
    <w:rsid w:val="00944FD0"/>
    <w:rsid w:val="00951447"/>
    <w:rsid w:val="00957693"/>
    <w:rsid w:val="00966773"/>
    <w:rsid w:val="00972ADA"/>
    <w:rsid w:val="00986755"/>
    <w:rsid w:val="00996E12"/>
    <w:rsid w:val="009A1E40"/>
    <w:rsid w:val="009C1FB1"/>
    <w:rsid w:val="009D42DD"/>
    <w:rsid w:val="009D77E6"/>
    <w:rsid w:val="009E6926"/>
    <w:rsid w:val="009F0071"/>
    <w:rsid w:val="00A038F8"/>
    <w:rsid w:val="00A1554F"/>
    <w:rsid w:val="00A23B85"/>
    <w:rsid w:val="00A33CC3"/>
    <w:rsid w:val="00A34E32"/>
    <w:rsid w:val="00A4254E"/>
    <w:rsid w:val="00A42D2C"/>
    <w:rsid w:val="00A57DF7"/>
    <w:rsid w:val="00A57E8A"/>
    <w:rsid w:val="00A6274F"/>
    <w:rsid w:val="00A64788"/>
    <w:rsid w:val="00A82F97"/>
    <w:rsid w:val="00AB3BEE"/>
    <w:rsid w:val="00AB3E9C"/>
    <w:rsid w:val="00AC1BCD"/>
    <w:rsid w:val="00AC371A"/>
    <w:rsid w:val="00AD251D"/>
    <w:rsid w:val="00AF341B"/>
    <w:rsid w:val="00B002E5"/>
    <w:rsid w:val="00B108F2"/>
    <w:rsid w:val="00B12710"/>
    <w:rsid w:val="00B422E2"/>
    <w:rsid w:val="00B4761A"/>
    <w:rsid w:val="00B54CEB"/>
    <w:rsid w:val="00B55C6B"/>
    <w:rsid w:val="00B57422"/>
    <w:rsid w:val="00B6478E"/>
    <w:rsid w:val="00B66101"/>
    <w:rsid w:val="00B76073"/>
    <w:rsid w:val="00B80026"/>
    <w:rsid w:val="00BB4035"/>
    <w:rsid w:val="00BC233F"/>
    <w:rsid w:val="00BC613D"/>
    <w:rsid w:val="00BC7887"/>
    <w:rsid w:val="00BC7ABF"/>
    <w:rsid w:val="00BF0063"/>
    <w:rsid w:val="00BF0500"/>
    <w:rsid w:val="00BF2269"/>
    <w:rsid w:val="00C0259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2AE"/>
    <w:rsid w:val="00CE37CE"/>
    <w:rsid w:val="00CE71DF"/>
    <w:rsid w:val="00D04003"/>
    <w:rsid w:val="00D17FB1"/>
    <w:rsid w:val="00D22932"/>
    <w:rsid w:val="00D23B14"/>
    <w:rsid w:val="00D27BF2"/>
    <w:rsid w:val="00D4242A"/>
    <w:rsid w:val="00D44770"/>
    <w:rsid w:val="00D50DC5"/>
    <w:rsid w:val="00D809CE"/>
    <w:rsid w:val="00D83459"/>
    <w:rsid w:val="00D908C8"/>
    <w:rsid w:val="00DA32AE"/>
    <w:rsid w:val="00DB322A"/>
    <w:rsid w:val="00DC2401"/>
    <w:rsid w:val="00DC6556"/>
    <w:rsid w:val="00DC65CE"/>
    <w:rsid w:val="00DE2326"/>
    <w:rsid w:val="00DE3F2B"/>
    <w:rsid w:val="00DE6D9C"/>
    <w:rsid w:val="00DF0019"/>
    <w:rsid w:val="00E056BA"/>
    <w:rsid w:val="00E14F54"/>
    <w:rsid w:val="00E221EE"/>
    <w:rsid w:val="00E24865"/>
    <w:rsid w:val="00E30F40"/>
    <w:rsid w:val="00E345D3"/>
    <w:rsid w:val="00E373A4"/>
    <w:rsid w:val="00E3765B"/>
    <w:rsid w:val="00E451C1"/>
    <w:rsid w:val="00E465B4"/>
    <w:rsid w:val="00E50217"/>
    <w:rsid w:val="00E66655"/>
    <w:rsid w:val="00E67D75"/>
    <w:rsid w:val="00E815C4"/>
    <w:rsid w:val="00E815E7"/>
    <w:rsid w:val="00E86E62"/>
    <w:rsid w:val="00E9247A"/>
    <w:rsid w:val="00E937A3"/>
    <w:rsid w:val="00ED49E1"/>
    <w:rsid w:val="00EE0CA7"/>
    <w:rsid w:val="00EF0BFF"/>
    <w:rsid w:val="00EF23E3"/>
    <w:rsid w:val="00F30A54"/>
    <w:rsid w:val="00F3580F"/>
    <w:rsid w:val="00F36BBC"/>
    <w:rsid w:val="00F420EB"/>
    <w:rsid w:val="00F62380"/>
    <w:rsid w:val="00F64E74"/>
    <w:rsid w:val="00F723ED"/>
    <w:rsid w:val="00F76006"/>
    <w:rsid w:val="00F84A01"/>
    <w:rsid w:val="00F912A4"/>
    <w:rsid w:val="00FA47F3"/>
    <w:rsid w:val="00FB51EB"/>
    <w:rsid w:val="00FC4986"/>
    <w:rsid w:val="00FC67F3"/>
    <w:rsid w:val="00FD51E0"/>
    <w:rsid w:val="00FD7C34"/>
    <w:rsid w:val="00FE19D3"/>
    <w:rsid w:val="00FE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8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 w:type="paragraph" w:styleId="Revision">
    <w:name w:val="Revision"/>
    <w:hidden/>
    <w:uiPriority w:val="99"/>
    <w:semiHidden/>
    <w:rsid w:val="00A64788"/>
    <w:rPr>
      <w:rFonts w:ascii="Courier 10cpi" w:hAnsi="Courier 10cpi"/>
    </w:rPr>
  </w:style>
  <w:style w:type="character" w:styleId="UnresolvedMention">
    <w:name w:val="Unresolved Mention"/>
    <w:basedOn w:val="DefaultParagraphFont"/>
    <w:uiPriority w:val="99"/>
    <w:semiHidden/>
    <w:unhideWhenUsed/>
    <w:rsid w:val="00E66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fsbillpay.com/signu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13pitt.com/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57B89-E6A4-40EB-AEFE-0D3A45FBB564}">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0494F1A7-97A7-40BB-A01F-1BA3BFD7F35C}">
  <ds:schemaRefs>
    <ds:schemaRef ds:uri="http://schemas.microsoft.com/sharepoint/v3/contenttype/forms"/>
  </ds:schemaRefs>
</ds:datastoreItem>
</file>

<file path=customXml/itemProps3.xml><?xml version="1.0" encoding="utf-8"?>
<ds:datastoreItem xmlns:ds="http://schemas.openxmlformats.org/officeDocument/2006/customXml" ds:itemID="{7780217F-3E40-49E7-BA41-BBAAFA3E8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E9726-2123-4B01-9C1A-E8F2BC99A6A4}">
  <ds:schemaRefs>
    <ds:schemaRef ds:uri="http://schemas.openxmlformats.org/officeDocument/2006/bibliography"/>
  </ds:schemaRefs>
</ds:datastoreItem>
</file>

<file path=customXml/itemProps5.xml><?xml version="1.0" encoding="utf-8"?>
<ds:datastoreItem xmlns:ds="http://schemas.openxmlformats.org/officeDocument/2006/customXml" ds:itemID="{B43CE605-AF54-46FC-AA1A-77CAC3F8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PresentationFormat>11|.DOC</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2026-06-26T17:37:00Z</dcterms:created>
  <dcterms:modified xsi:type="dcterms:W3CDTF">2026-06-26T17:37:00Z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